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header3.xml" ContentType="application/vnd.openxmlformats-officedocument.wordprocessingml.header+xml"/>
  <Override PartName="/word/header6.xml" ContentType="application/vnd.openxmlformats-officedocument.wordprocessingml.header+xml"/>
  <Override PartName="/word/footnotes.xml" ContentType="application/vnd.openxmlformats-officedocument.wordprocessingml.footnotes+xml"/>
  <Override PartName="/word/fontTable.xml" ContentType="application/vnd.openxmlformats-officedocument.wordprocessingml.fontTable+xml"/>
  <Override PartName="/word/header7.xml" ContentType="application/vnd.openxmlformats-officedocument.wordprocessingml.header+xml"/>
  <Override PartName="/word/document.xml" ContentType="application/vnd.openxmlformats-officedocument.wordprocessingml.document.mai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spacing w:lineRule="auto" w:line="240"/>
        <w:jc w:val="center"/>
        <w:rPr>
          <w:rFonts w:ascii="Times New Roman" w:hAnsi="Times New Roman"/>
        </w:rPr>
      </w:pPr>
      <w:r>
        <w:rPr>
          <w:rFonts w:eastAsia="Times New Roman" w:cs="Times New Roman" w:ascii="Times New Roman" w:hAnsi="Times New Roman"/>
          <w:b/>
          <w:sz w:val="24"/>
          <w:szCs w:val="24"/>
          <w:lang w:val="pt-BR" w:eastAsia="zh-CN" w:bidi="hi-IN"/>
        </w:rPr>
        <w:t>A AVALIAÇÃO DE DOCUMENTOS NO CORPO DE BOMBEIROS MILITAR DE SANTA CATARINA</w:t>
      </w:r>
    </w:p>
    <w:p>
      <w:pPr>
        <w:pStyle w:val="normal1"/>
        <w:spacing w:lineRule="auto" w:line="240"/>
        <w:jc w:val="center"/>
        <w:rPr>
          <w:rFonts w:eastAsia="Times New Roman" w:cs="Times New Roman"/>
          <w:b/>
          <w:sz w:val="24"/>
          <w:szCs w:val="24"/>
          <w:lang w:val="pt-BR" w:eastAsia="zh-CN" w:bidi="hi-IN"/>
        </w:rPr>
      </w:pPr>
      <w:r>
        <w:rPr>
          <w:rFonts w:eastAsia="Times New Roman" w:cs="Times New Roman"/>
          <w:b/>
          <w:sz w:val="24"/>
          <w:szCs w:val="24"/>
          <w:lang w:val="pt-BR" w:eastAsia="zh-CN" w:bidi="hi-IN"/>
        </w:rPr>
      </w:r>
    </w:p>
    <w:p>
      <w:pPr>
        <w:pStyle w:val="Textoprformatado"/>
        <w:spacing w:lineRule="auto" w:line="240"/>
        <w:jc w:val="center"/>
        <w:rPr>
          <w:rFonts w:ascii="Times New Roman" w:hAnsi="Times New Roman"/>
          <w:b w:val="false"/>
          <w:i w:val="false"/>
          <w:i w:val="false"/>
          <w:caps w:val="false"/>
          <w:smallCaps w:val="false"/>
          <w:color w:val="1F1F1F"/>
          <w:spacing w:val="0"/>
          <w:sz w:val="42"/>
          <w:lang w:val="en-US" w:eastAsia="zh-CN" w:bidi="hi-IN"/>
        </w:rPr>
      </w:pPr>
      <w:bookmarkStart w:id="0" w:name="tw-target-text"/>
      <w:bookmarkEnd w:id="0"/>
      <w:r>
        <w:rPr>
          <w:rFonts w:eastAsia="Times New Roman" w:cs="Times New Roman" w:ascii="Times New Roman" w:hAnsi="Times New Roman"/>
          <w:b/>
          <w:i w:val="false"/>
          <w:caps w:val="false"/>
          <w:smallCaps w:val="false"/>
          <w:color w:val="1F1F1F"/>
          <w:spacing w:val="0"/>
          <w:sz w:val="24"/>
          <w:szCs w:val="24"/>
          <w:lang w:val="en-US" w:eastAsia="zh-CN" w:bidi="hi-IN"/>
        </w:rPr>
        <w:t>EVALUATION OF DOCUMENTS IN THE MILITARY FIRE DEPARTMENT OF SANTA CATARINA</w:t>
      </w:r>
    </w:p>
    <w:p>
      <w:pPr>
        <w:pStyle w:val="normal1"/>
        <w:spacing w:lineRule="auto" w:line="240"/>
        <w:jc w:val="center"/>
        <w:rPr>
          <w:rFonts w:eastAsia="Times New Roman" w:cs="Times New Roman"/>
          <w:b/>
          <w:sz w:val="24"/>
          <w:szCs w:val="24"/>
        </w:rPr>
      </w:pPr>
      <w:r>
        <w:rPr>
          <w:rFonts w:eastAsia="Times New Roman" w:cs="Times New Roman"/>
          <w:b/>
          <w:sz w:val="24"/>
          <w:szCs w:val="24"/>
        </w:rPr>
      </w:r>
    </w:p>
    <w:p>
      <w:pPr>
        <w:pStyle w:val="normal1"/>
        <w:spacing w:lineRule="auto" w:line="240"/>
        <w:jc w:val="right"/>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jc w:val="right"/>
        <w:rPr>
          <w:rFonts w:ascii="Times New Roman" w:hAnsi="Times New Roman"/>
        </w:rPr>
      </w:pPr>
      <w:r>
        <w:rPr>
          <w:rFonts w:eastAsia="Times New Roman" w:cs="Times New Roman" w:ascii="Times New Roman" w:hAnsi="Times New Roman"/>
          <w:sz w:val="24"/>
          <w:szCs w:val="24"/>
          <w:lang w:val="pt-BR" w:eastAsia="zh-CN" w:bidi="hi-IN"/>
        </w:rPr>
        <w:t>Alexandre Fraga</w:t>
      </w:r>
      <w:r>
        <w:rPr>
          <w:rStyle w:val="FootnoteReference"/>
          <w:rFonts w:eastAsia="Times New Roman" w:cs="Times New Roman" w:ascii="Times New Roman" w:hAnsi="Times New Roman"/>
          <w:sz w:val="24"/>
          <w:szCs w:val="24"/>
          <w:vertAlign w:val="superscript"/>
          <w:lang w:val="pt-BR" w:eastAsia="zh-CN" w:bidi="hi-IN"/>
        </w:rPr>
        <w:footnoteReference w:id="2"/>
      </w:r>
    </w:p>
    <w:p>
      <w:pPr>
        <w:pStyle w:val="normal1"/>
        <w:spacing w:lineRule="auto" w:line="240"/>
        <w:jc w:val="right"/>
        <w:rPr>
          <w:rFonts w:ascii="Times New Roman" w:hAnsi="Times New Roman"/>
        </w:rPr>
      </w:pPr>
      <w:r>
        <w:rPr>
          <w:rFonts w:eastAsia="Times New Roman" w:cs="Times New Roman" w:ascii="Times New Roman" w:hAnsi="Times New Roman"/>
          <w:sz w:val="24"/>
          <w:szCs w:val="24"/>
          <w:lang w:val="pt-BR" w:eastAsia="zh-CN" w:bidi="hi-IN"/>
        </w:rPr>
        <w:t>Graziela Martins de Medeiros</w:t>
      </w:r>
      <w:r>
        <w:rPr>
          <w:rStyle w:val="FootnoteReference"/>
          <w:rFonts w:eastAsia="Times New Roman" w:cs="Times New Roman" w:ascii="Times New Roman" w:hAnsi="Times New Roman"/>
          <w:sz w:val="24"/>
          <w:szCs w:val="24"/>
          <w:vertAlign w:val="superscript"/>
          <w:lang w:val="pt-BR" w:eastAsia="zh-CN" w:bidi="hi-IN"/>
        </w:rPr>
        <w:footnoteReference w:id="3"/>
      </w:r>
    </w:p>
    <w:p>
      <w:pPr>
        <w:pStyle w:val="normal1"/>
        <w:spacing w:lineRule="auto" w:line="24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jc w:val="both"/>
        <w:rPr>
          <w:rFonts w:ascii="Times New Roman" w:hAnsi="Times New Roman"/>
          <w:sz w:val="24"/>
          <w:szCs w:val="24"/>
        </w:rPr>
      </w:pPr>
      <w:r>
        <w:rPr>
          <w:rFonts w:eastAsia="Times New Roman" w:cs="Times New Roman" w:ascii="Times New Roman" w:hAnsi="Times New Roman"/>
          <w:b/>
          <w:sz w:val="24"/>
          <w:szCs w:val="24"/>
          <w:lang w:val="pt-BR" w:eastAsia="zh-CN" w:bidi="hi-IN"/>
        </w:rPr>
        <w:t>RESUMO:</w:t>
      </w:r>
      <w:r>
        <w:rPr>
          <w:rFonts w:eastAsia="Times New Roman" w:cs="Times New Roman" w:ascii="Times New Roman" w:hAnsi="Times New Roman"/>
          <w:sz w:val="24"/>
          <w:szCs w:val="24"/>
          <w:lang w:val="pt-BR" w:eastAsia="zh-CN" w:bidi="hi-IN"/>
        </w:rPr>
        <w:t xml:space="preserve"> O Corpo de Bombeiros Militar de Santa Catarina (CBMSC) produz e acumula documentos que além de refletirem suas atividades, funções e estrutura organizacional, contam a sua evolução ao longo da história, com um acervo documental arquivístico distribuído por todo o Estado de Santa Catarina. Esta pesquisa teve como objetivo geral descrever o processo de avaliação de documentos do CBMSC, com vistas à proposição de atualização da tabela de temporalidade e destinação de documentos, e especificamente: </w:t>
      </w:r>
      <w:r>
        <w:rPr>
          <w:rFonts w:eastAsia="Times New Roman" w:cs="Times New Roman" w:ascii="Times New Roman" w:hAnsi="Times New Roman"/>
          <w:sz w:val="24"/>
          <w:szCs w:val="24"/>
          <w:shd w:fill="auto" w:val="clear"/>
          <w:lang w:val="pt-BR" w:eastAsia="zh-CN" w:bidi="hi-IN"/>
        </w:rPr>
        <w:t>a) identificar na literatura, diretrizes legais e normativas vigentes no Estado, aquelas que dizem respeito à elaboração e revisão de tabela de temporalidade e destinação de documentos; b) descrever o processo de formalização da tabela de temporalidade e destinação de documentos do CBSMC, e; c) propor a adequação e atualização da tabela de temporalidade e destinação de documentos do CBMSC, a partir de duas atividades da subfunção “segurança contra incêndio”: 1 – Normatizar e Promover Ações e Medidas de Segurança Contra Incêndios e Pânico; e, 2 – Perícia de Incêndio.</w:t>
      </w:r>
      <w:r>
        <w:rPr>
          <w:rFonts w:eastAsia="Times New Roman" w:cs="Times New Roman" w:ascii="Times New Roman" w:hAnsi="Times New Roman"/>
          <w:sz w:val="24"/>
          <w:szCs w:val="24"/>
          <w:lang w:val="pt-BR" w:eastAsia="zh-CN" w:bidi="hi-IN"/>
        </w:rPr>
        <w:t xml:space="preserve"> Para tanto, foi empregada uma abordagem qualitativa, do ponto de vista dos objetivos, exploratória e descritiva</w:t>
      </w:r>
      <w:r>
        <w:rPr>
          <w:rFonts w:eastAsia="Times New Roman" w:cs="Times New Roman" w:ascii="Times New Roman" w:hAnsi="Times New Roman"/>
          <w:sz w:val="24"/>
          <w:szCs w:val="24"/>
          <w:shd w:fill="auto" w:val="clear"/>
          <w:lang w:val="pt-BR" w:eastAsia="zh-CN" w:bidi="hi-IN"/>
        </w:rPr>
        <w:t xml:space="preserve">, por meio de pesquisa bibliográfica trazendo definições e conceitos sobre a tabela de temporalidade de documentos, e caracterizando-se como um </w:t>
      </w:r>
      <w:r>
        <w:rPr>
          <w:rFonts w:eastAsia="Times New Roman" w:cs="Times New Roman" w:ascii="Times New Roman" w:hAnsi="Times New Roman"/>
          <w:sz w:val="24"/>
          <w:szCs w:val="24"/>
          <w:lang w:val="pt-BR" w:eastAsia="zh-CN" w:bidi="hi-IN"/>
        </w:rPr>
        <w:t>estudo de caso com foco na estruturação dos processos de gestão e avaliação de documentos. Os resultados apontam a falta de critérios e métodos arquivísticos, além do acúmulo de uma massa documental sem a avaliação. Elaborou-se uma proposta para a atualização da tabela de temporalidade moldada em procedimentos técnicos de gestão arquivística de documentos à realidade do CBMSC.</w:t>
      </w:r>
    </w:p>
    <w:p>
      <w:pPr>
        <w:pStyle w:val="normal1"/>
        <w:spacing w:lineRule="auto" w:line="240"/>
        <w:rPr>
          <w:rFonts w:ascii="Times New Roman" w:hAnsi="Times New Roman"/>
          <w:sz w:val="24"/>
          <w:szCs w:val="24"/>
        </w:rPr>
      </w:pPr>
      <w:r>
        <w:rPr>
          <w:rFonts w:eastAsia="Times New Roman" w:cs="Times New Roman" w:ascii="Times New Roman" w:hAnsi="Times New Roman"/>
          <w:b/>
          <w:sz w:val="24"/>
          <w:szCs w:val="24"/>
          <w:lang w:val="pt-BR" w:eastAsia="zh-CN" w:bidi="hi-IN"/>
        </w:rPr>
        <w:t>Palavras-chave:</w:t>
      </w:r>
      <w:r>
        <w:rPr>
          <w:rFonts w:eastAsia="Times New Roman" w:cs="Times New Roman" w:ascii="Times New Roman" w:hAnsi="Times New Roman"/>
          <w:sz w:val="24"/>
          <w:szCs w:val="24"/>
          <w:lang w:val="pt-BR" w:eastAsia="zh-CN" w:bidi="hi-IN"/>
        </w:rPr>
        <w:t xml:space="preserve"> tabela de temporalidade; plano de classificação; Corpo de Bombeiros-SC.</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jc w:val="both"/>
        <w:rPr>
          <w:rFonts w:ascii="Times New Roman" w:hAnsi="Times New Roman"/>
          <w:sz w:val="24"/>
          <w:szCs w:val="24"/>
        </w:rPr>
      </w:pPr>
      <w:r>
        <w:rPr>
          <w:rFonts w:eastAsia="Times New Roman" w:cs="Times New Roman" w:ascii="Times New Roman" w:hAnsi="Times New Roman"/>
          <w:b/>
          <w:sz w:val="24"/>
          <w:szCs w:val="24"/>
          <w:lang w:val="en-US" w:eastAsia="zh-CN" w:bidi="hi-IN"/>
        </w:rPr>
        <w:t>ABSTRACT:</w:t>
      </w:r>
      <w:r>
        <w:rPr>
          <w:rFonts w:eastAsia="Times New Roman" w:cs="Times New Roman" w:ascii="Times New Roman" w:hAnsi="Times New Roman"/>
          <w:b w:val="false"/>
          <w:bCs w:val="false"/>
          <w:color w:val="auto"/>
          <w:sz w:val="24"/>
          <w:szCs w:val="24"/>
          <w:lang w:val="en-US" w:eastAsia="zh-CN" w:bidi="hi-IN"/>
        </w:rPr>
        <w:t xml:space="preserve"> The Santa Catarina Military Fire Department (CBMSC) produces and accumulates documents that reflect its activities, functions, and organizational structure, as well as chronicling its historical evolution. This research aims to describe the CBMSC's document evaluation process, with a view to proposing an update of its document temporality and destination table. Specifically, it aimed to: a) identify, in the literature, legal guidelines, and regulations in force in the state, those related to the development and revision of document temporality and destination tables; b) describe the process of formalizing the CBSMC's document temporality and destination table; and c) propose adaptations and updates to the CBMSC's document temporality and destination table, based on two activities within the "fire safety" subfunction: 1 – Standardize and Promote Fire and Panic Safety Actions and Measures; and 2 – Fire Investigation. To this end, a qualitative approach was employed, both exploratory and descriptive, through bibliographic research. This approach provided definitions and concepts related to the document temporality table. This case study focused on structuring document management and evaluation processes. The results highlight a lack of archival criteria and methods, as well as the accumulation of a mass of documents without evaluation. A proposal was developed to update the temporality table, based on technical procedures for archival document management, to reflect the realities of the CBMSC.</w:t>
      </w:r>
    </w:p>
    <w:p>
      <w:pPr>
        <w:pStyle w:val="normal1"/>
        <w:spacing w:lineRule="auto" w:line="240"/>
        <w:jc w:val="both"/>
        <w:rPr>
          <w:rFonts w:ascii="Times New Roman" w:hAnsi="Times New Roman"/>
          <w:sz w:val="24"/>
          <w:szCs w:val="24"/>
        </w:rPr>
      </w:pPr>
      <w:r>
        <w:rPr>
          <w:rFonts w:eastAsia="Times New Roman" w:cs="Times New Roman" w:ascii="Times New Roman" w:hAnsi="Times New Roman"/>
          <w:b/>
          <w:sz w:val="24"/>
          <w:szCs w:val="24"/>
          <w:lang w:val="en-US" w:eastAsia="zh-CN" w:bidi="hi-IN"/>
        </w:rPr>
        <w:t>Keywords:</w:t>
      </w:r>
      <w:r>
        <w:rPr>
          <w:rFonts w:eastAsia="Times New Roman" w:cs="Times New Roman" w:ascii="Times New Roman" w:hAnsi="Times New Roman"/>
          <w:sz w:val="24"/>
          <w:szCs w:val="24"/>
          <w:lang w:val="en-US" w:eastAsia="zh-CN" w:bidi="hi-IN"/>
        </w:rPr>
        <w:t xml:space="preserve"> temporality table; classification plan; Fire Department-SC.</w:t>
      </w:r>
    </w:p>
    <w:p>
      <w:pPr>
        <w:pStyle w:val="normal1"/>
        <w:spacing w:lineRule="auto" w:line="24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spacing w:lineRule="auto" w:line="24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spacing w:lineRule="auto" w:line="240"/>
        <w:jc w:val="both"/>
        <w:rPr>
          <w:rFonts w:ascii="Times New Roman" w:hAnsi="Times New Roman"/>
          <w:sz w:val="24"/>
          <w:szCs w:val="24"/>
        </w:rPr>
      </w:pPr>
      <w:r>
        <w:rPr>
          <w:rFonts w:eastAsia="Times New Roman" w:cs="Times New Roman" w:ascii="Times New Roman" w:hAnsi="Times New Roman"/>
          <w:b/>
          <w:sz w:val="24"/>
          <w:szCs w:val="24"/>
          <w:lang w:val="pt-BR" w:eastAsia="zh-CN" w:bidi="hi-IN"/>
        </w:rPr>
        <w:t>1 INTRODUÇÃO</w:t>
      </w:r>
    </w:p>
    <w:p>
      <w:pPr>
        <w:pStyle w:val="normal1"/>
        <w:spacing w:lineRule="auto" w:line="240"/>
        <w:ind w:firstLine="85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Com o crescimento expansivo da informação em seus diversos suportes e as facilidades oferecidas pela tecnologia para a gestão de processos digitais, o Poder Executivo do Governo do Estado de Santa Catarina por meio do Decreto nº 39 de 21 de fevereiro de 2019, instituiu o programa governo sem papel no âmbito da Administração Pública Direta e Indireta, objetivando a celeridade da prestação dos serviços aos cidadãos catarinenses. Por outro lado, para que o programa promova o que se pretende, o uso da tecnologia exige ordenamento e classificação dos documentos que têm sido criados em seu âmbito, para posterior recuperação e uso.</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Além de utilizar a tecnologia como ferramenta para a produção de documentos digitais, há também uma massa documental em papel produzida e que está aguardando sua destinação, visando o cumprimento da legislação vigente que zela pela proteção dos documentos de arquivo.</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Quanto à essa legislação, conforme o inciso III do Art. 23 da Constituição Federal de 1998, compete à União, Estados, Distrito Federal e Municípios “proteger os documentos, as obras e outros bens de valor histórico, artístico e cultural, os monumentos, as paisagens naturais notáveis e os sítios arqueológico” (Brasil, 1988) e ainda; “é dever do Poder Público a gestão documental e a proteção especial a documentos de arquivos, como instrumento de apoio à administração, à cultura, ao desenvolvimento científico e como elementos de prova e informação” (Brasil, 1991), conforme previsto no Art. 1º da Lei Federal nº 8.159, de 8 de janeiro de 1991; como também estabelece o Art 1º da Lei Estadual nº 9.747 de 26 de novembro de 1994.</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Dessa forma, tanto a massa documental em papel quanto a digital do Corpo de Bombeiros Militar de SC (CBMSC) necessitam da aplicação de instrumentos que favoreçam a gestão documental na forma prevista em lei, e que preserve tão somente o que se faz necessário e importante para o Poder Público, para a cultura, para a história e patrimônio cultural, entre outros.</w:t>
      </w:r>
    </w:p>
    <w:p>
      <w:pPr>
        <w:pStyle w:val="normal1"/>
        <w:spacing w:lineRule="auto" w:line="24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Tão importante quanto a preservação é a recuperação dessas informações, “necessárias para a tomada de decisões no âmbito das instituições públicas e privadas” (Bernardes; Delatorre, 2008, p. 17).</w:t>
      </w:r>
    </w:p>
    <w:p>
      <w:pPr>
        <w:pStyle w:val="normal1"/>
        <w:spacing w:lineRule="auto" w:line="24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Nesse contexto, o plano de classificação de documentos (PCD) e a Tabela de Temporalidade e Destinação de Documentos (TTDD) apresentam-se como os instrumentos mais eficazes na organização e classificação do acervo institucional, assim como sua guarda e destinação.</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Sobre o plano de classificação de documentos de arquivo, Bernardes e Delatorre (2008, p.11) apontam como sendo “resultado da atividade de classificação que recupera o contexto de produção dos documentos de arquivo agrupando-os de acordo com o órgão produtor, a função, a subfunção e a atividade responsável por sua produção ou acumulação.”</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 TTDD, por sua vez, “traz de forma esquemática, a totalidade dos documentos produzidos pelas organizações, o tempo de guarda nos arquivos correntes e intermediários e a sua destinação final” (Chagas, 2023, p. 5), contribuindo conjuntamente com o plano na gestão documental da instituição.</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Foi observado que o CBMSC possui estes instrumentos de gestão instituídos, mas carecem de atualização desde o ano de 2021, dada a necessidade de se ajustar permanentemente a produção documental às constantes mudanças de sua estrutura, observando-se a atualização de leis e normas que estruturam o Poder Executivo e seus respectivos Órgãos.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Além destas mudanças, se observou que a última atualização não contemplou uma grande parte do acervo em produção e custodiado pelo CBMSC, já que naquela oportunidade nem todas as seções informaram seus documentos produzidos e arquivados.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Este fato foi constatado pois o pesquisador atua como servidor público no Órgão desde 1991, quando a partir de maio de 2005, passou a laborar suas atividades na Ajudância-Geral do CBMSC, seção responsável pelo recebimento e tramitação de todos os documentos afetos ao Comando-Geral.</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Desde então o pesquisador tem participado de todas as Comissões Permanentes de Avaliação de Documentos (CPAD) como membro, e constatou a necessidade de buscar o conhecimento acadêmico na área da Arquivologia para lidar com a gestão arquivística de documentos do CBMSC.</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Nesse sentido, constatando o problema da falta de avaliação de grande parte do acervo produzido e custodiado no Órgão por todo o Estado de Santa Catarina em razão da falta de pessoal capacitado e de mecanismos conhecidos para se efetuar essa avaliação, procura-se nesta pesquisa buscar as informações para se atender esta demanda.</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Com o incremento das tecnologias da informação, as mudanças estruturais dos órgãos têm ocorrido com maior velocidade, exigindo da administração maior celeridade na atualização dos instrumentos de gestão em uso, a fim de garantir constante controle no uso das informações produzidas e custodiadas.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 desatualização dos instrumentos de gestão e sua consequente falta de gestão, acabam gerando entraves burocráticos, maiores despesas na manutenção de espaços para a guarda de arquivos físicos e digitais.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Desta forma, a presente pesquisa justifica-se pela necessidade de se apresentar um caminho que favoreça a proteção dos documentos de arquivo para a sua gestão em favor dos anseios da Corporação, permeada por sua missão, visão e valores, assim como o de favorecer o cumprimento da legislação vigente e de sua responsabilidade social, enquanto Órgão Público que presta serviços de segurança aos catarinenses.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Além disso, o interesse nesta pesquisa advém do fato de o pesquisador atuar na instituição e ter buscado na Arquivologia as instruções necessárias para a aplicação de soluções práticas para a gestão destes arquivos.</w:t>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Como objetivo geral pretende-se descrever o processo de avaliação de documentos do CBMSC, com vistas à proposição de atualização da TTDD, e como objetivos específicos: a) identificar na literatura, diretrizes legais e normativas vigentes no Estado, aquelas que dizem respeito à elaboração e revisão de TTDD</w:t>
      </w:r>
      <w:r>
        <w:rPr>
          <w:rFonts w:eastAsia="Times New Roman" w:cs="Times New Roman" w:ascii="Times New Roman" w:hAnsi="Times New Roman"/>
          <w:sz w:val="24"/>
          <w:szCs w:val="24"/>
          <w:shd w:fill="auto" w:val="clear"/>
          <w:lang w:val="pt-BR" w:eastAsia="zh-CN" w:bidi="hi-IN"/>
        </w:rPr>
        <w:t>; b) descrever o processo de formalização da TTDD do CBMSC, e; c) propor a adequação e atualização da TTDD do CBMSC, a partir de duas atividades da subfunção segurança contra incêndio: 1 – Normatizar e Promover Ações e Medidas de Segurança Contra Incêndios e Pânico; e, 2 – Perícia de Incêndio.</w:t>
      </w:r>
    </w:p>
    <w:p>
      <w:pPr>
        <w:pStyle w:val="normal1"/>
        <w:spacing w:lineRule="auto" w:line="240"/>
        <w:ind w:firstLine="85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b/>
          <w:sz w:val="24"/>
          <w:szCs w:val="24"/>
          <w:lang w:val="pt-BR" w:eastAsia="zh-CN" w:bidi="hi-IN"/>
        </w:rPr>
        <w:t>2 REFERENCIAL TEÓRICO</w:t>
      </w:r>
    </w:p>
    <w:p>
      <w:pPr>
        <w:pStyle w:val="normal1"/>
        <w:spacing w:lineRule="auto" w:line="240"/>
        <w:ind w:firstLine="85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Nesta seção são apresentados os conceitos relacionados aos instrumentos de gestão documental e o posicionamento de diferentes autores sobre o assunto, a fim de se verificar o entendimento científico atual sobre a gestão arquivística de documentos e avaliação de documentos.</w:t>
      </w:r>
    </w:p>
    <w:p>
      <w:pPr>
        <w:pStyle w:val="normal1"/>
        <w:spacing w:lineRule="auto" w:line="240"/>
        <w:ind w:firstLine="85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sz w:val="24"/>
          <w:szCs w:val="24"/>
          <w:lang w:val="pt-BR" w:eastAsia="zh-CN" w:bidi="hi-IN"/>
        </w:rPr>
        <w:t>2.1 GESTÃO E AVALIAÇÃO DE DOCUMENTOS</w:t>
      </w:r>
    </w:p>
    <w:p>
      <w:pPr>
        <w:pStyle w:val="normal1"/>
        <w:spacing w:lineRule="auto" w:line="240"/>
        <w:ind w:hanging="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 proteção dos documentos, no que diz respeito à administração pública brasileira, está devidamente assegurada pela Constituição Federal de 1988, quando assevera:</w:t>
      </w:r>
    </w:p>
    <w:p>
      <w:pPr>
        <w:pStyle w:val="normal1"/>
        <w:spacing w:lineRule="auto" w:line="240"/>
        <w:ind w:hanging="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hanging="0" w:left="2551"/>
        <w:jc w:val="both"/>
        <w:rPr>
          <w:rFonts w:ascii="Times New Roman" w:hAnsi="Times New Roman"/>
        </w:rPr>
      </w:pPr>
      <w:r>
        <w:rPr>
          <w:rFonts w:eastAsia="Times New Roman" w:cs="Times New Roman" w:ascii="Times New Roman" w:hAnsi="Times New Roman"/>
          <w:sz w:val="20"/>
          <w:szCs w:val="20"/>
          <w:lang w:val="pt-BR" w:eastAsia="zh-CN" w:bidi="hi-IN"/>
        </w:rPr>
        <w:t>Art. 23. É competência comum da União, dos Estados, do Distrito Federal e dos Municípios:</w:t>
      </w:r>
    </w:p>
    <w:p>
      <w:pPr>
        <w:pStyle w:val="normal1"/>
        <w:spacing w:lineRule="auto" w:line="240"/>
        <w:ind w:hanging="0" w:left="2551"/>
        <w:jc w:val="both"/>
        <w:rPr>
          <w:rFonts w:ascii="Times New Roman" w:hAnsi="Times New Roman"/>
        </w:rPr>
      </w:pPr>
      <w:r>
        <w:rPr>
          <w:rFonts w:eastAsia="Times New Roman" w:cs="Times New Roman" w:ascii="Times New Roman" w:hAnsi="Times New Roman"/>
          <w:sz w:val="20"/>
          <w:szCs w:val="20"/>
          <w:lang w:val="pt-BR" w:eastAsia="zh-CN" w:bidi="hi-IN"/>
        </w:rPr>
        <w:t>[...]</w:t>
      </w:r>
    </w:p>
    <w:p>
      <w:pPr>
        <w:pStyle w:val="normal1"/>
        <w:spacing w:lineRule="auto" w:line="240"/>
        <w:ind w:hanging="0" w:left="2551"/>
        <w:jc w:val="both"/>
        <w:rPr>
          <w:rFonts w:ascii="Times New Roman" w:hAnsi="Times New Roman"/>
        </w:rPr>
      </w:pPr>
      <w:r>
        <w:rPr>
          <w:rFonts w:eastAsia="Times New Roman" w:cs="Times New Roman" w:ascii="Times New Roman" w:hAnsi="Times New Roman"/>
          <w:sz w:val="20"/>
          <w:szCs w:val="20"/>
          <w:lang w:val="pt-BR" w:eastAsia="zh-CN" w:bidi="hi-IN"/>
        </w:rPr>
        <w:t>III - proteger os documentos, as obras e outros bens de valor histórico, artístico e cultural, os monumentos, as paisagens naturais notáveis e os sítios arqueológicos;</w:t>
      </w:r>
    </w:p>
    <w:p>
      <w:pPr>
        <w:pStyle w:val="normal1"/>
        <w:spacing w:lineRule="auto" w:line="240"/>
        <w:ind w:hanging="0" w:left="2551"/>
        <w:jc w:val="both"/>
        <w:rPr>
          <w:rFonts w:ascii="Times New Roman" w:hAnsi="Times New Roman"/>
        </w:rPr>
      </w:pPr>
      <w:r>
        <w:rPr>
          <w:rFonts w:eastAsia="Times New Roman" w:cs="Times New Roman" w:ascii="Times New Roman" w:hAnsi="Times New Roman"/>
          <w:sz w:val="20"/>
          <w:szCs w:val="20"/>
          <w:lang w:val="pt-BR" w:eastAsia="zh-CN" w:bidi="hi-IN"/>
        </w:rPr>
        <w:t>IV - impedir a evasão, a destruição e a descaracterização de obras de arte e de outros bens de valor histórico, artístico ou cultural;</w:t>
      </w:r>
    </w:p>
    <w:p>
      <w:pPr>
        <w:pStyle w:val="normal1"/>
        <w:spacing w:lineRule="auto" w:line="240"/>
        <w:ind w:hanging="0" w:left="2551"/>
        <w:jc w:val="both"/>
        <w:rPr>
          <w:rFonts w:ascii="Times New Roman" w:hAnsi="Times New Roman"/>
        </w:rPr>
      </w:pPr>
      <w:r>
        <w:rPr>
          <w:rFonts w:eastAsia="Times New Roman" w:cs="Times New Roman" w:ascii="Times New Roman" w:hAnsi="Times New Roman"/>
          <w:sz w:val="20"/>
          <w:szCs w:val="20"/>
          <w:lang w:val="pt-BR" w:eastAsia="zh-CN" w:bidi="hi-IN"/>
        </w:rPr>
        <w:t>V - proporcionar os meios de acesso à cultura, à educação, à ciência, à tecnologia, à pesquisa e à inovação; (Brasil, 1988)</w:t>
      </w:r>
    </w:p>
    <w:p>
      <w:pPr>
        <w:pStyle w:val="normal1"/>
        <w:spacing w:lineRule="auto" w:line="240"/>
        <w:ind w:firstLine="85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Uma vez que a proteção de documentos e ademais bens de valor histórico, cultural e artístico estejam asseguradas, cabe ao poder público aplicar medidas conhecidas e comprovadas que forneçam condições para que este patrimônio seja protegido e acessado, a fim de servir como fonte de informação à cultura, à educação, à ciência, à tecnologia, à pesquisa e à inovação.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Para tanto, a gestão documental passa a ser um dever do poder público conforme prescreve a Lei nº 8.159, de 8 de janeiro de 1991, que em seu artigo 3º conceitua:</w:t>
      </w:r>
    </w:p>
    <w:p>
      <w:pPr>
        <w:pStyle w:val="normal1"/>
        <w:spacing w:lineRule="auto" w:line="240"/>
        <w:ind w:firstLine="850" w:left="0"/>
        <w:jc w:val="both"/>
        <w:rPr>
          <w:rFonts w:eastAsia="Times New Roman" w:cs="Times New Roman"/>
          <w:sz w:val="24"/>
          <w:szCs w:val="24"/>
          <w:lang w:val="pt-BR" w:eastAsia="zh-CN" w:bidi="hi-IN"/>
        </w:rPr>
      </w:pPr>
      <w:r>
        <w:rPr>
          <w:rFonts w:eastAsia="Times New Roman" w:cs="Times New Roman"/>
          <w:sz w:val="24"/>
          <w:szCs w:val="24"/>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b w:val="false"/>
          <w:i w:val="false"/>
          <w:i w:val="false"/>
          <w:caps w:val="false"/>
          <w:smallCaps w:val="false"/>
          <w:color w:val="000000"/>
          <w:spacing w:val="0"/>
          <w:sz w:val="20"/>
          <w:szCs w:val="20"/>
          <w:lang w:val="pt-PT" w:eastAsia="zh-CN" w:bidi="hi-IN"/>
        </w:rPr>
      </w:pPr>
      <w:r>
        <w:rPr>
          <w:rFonts w:ascii="Times New Roman" w:hAnsi="Times New Roman"/>
          <w:b w:val="false"/>
          <w:i w:val="false"/>
          <w:caps w:val="false"/>
          <w:smallCaps w:val="false"/>
          <w:color w:val="000000"/>
          <w:spacing w:val="0"/>
          <w:sz w:val="20"/>
          <w:szCs w:val="20"/>
          <w:lang w:val="pt-PT" w:eastAsia="zh-CN" w:bidi="hi-IN"/>
        </w:rPr>
        <w:t>Considera-se gestão de documentos o conjunto de procedimentos e operações técnicas referentes à sua produção, tramitação, uso, avaliação e arquivamento em fase corrente e intermediária, visando a sua eliminação ou recolhimento para guarda permanente. (Brasil, 1991)</w:t>
      </w:r>
    </w:p>
    <w:p>
      <w:pPr>
        <w:pStyle w:val="normal1"/>
        <w:spacing w:lineRule="auto" w:line="240"/>
        <w:ind w:firstLine="850" w:left="0"/>
        <w:jc w:val="both"/>
        <w:rPr>
          <w:rFonts w:eastAsia="Times New Roman" w:cs="Times New Roman"/>
          <w:sz w:val="24"/>
          <w:szCs w:val="24"/>
          <w:lang w:val="pt-BR" w:eastAsia="zh-CN" w:bidi="hi-IN"/>
        </w:rPr>
      </w:pPr>
      <w:r>
        <w:rPr>
          <w:rFonts w:eastAsia="Times New Roman" w:cs="Times New Roman"/>
          <w:sz w:val="24"/>
          <w:szCs w:val="24"/>
          <w:lang w:val="pt-BR" w:eastAsia="zh-CN" w:bidi="hi-IN"/>
        </w:rPr>
      </w:r>
    </w:p>
    <w:p>
      <w:pPr>
        <w:pStyle w:val="normal1"/>
        <w:spacing w:lineRule="auto" w:line="240"/>
        <w:ind w:firstLine="850"/>
        <w:jc w:val="both"/>
        <w:rPr>
          <w:rFonts w:ascii="Times New Roman" w:hAnsi="Times New Roman"/>
        </w:rPr>
      </w:pPr>
      <w:r>
        <w:rPr>
          <w:rFonts w:eastAsia="Times New Roman" w:cs="Times New Roman" w:ascii="Times New Roman" w:hAnsi="Times New Roman"/>
          <w:sz w:val="24"/>
          <w:szCs w:val="24"/>
          <w:lang w:val="pt-BR" w:eastAsia="zh-CN" w:bidi="hi-IN"/>
        </w:rPr>
        <w:t>A Lei nº 8159, de 8 de janeiro de 1991 define o arquivo:</w:t>
      </w:r>
    </w:p>
    <w:p>
      <w:pPr>
        <w:pStyle w:val="normal1"/>
        <w:spacing w:lineRule="auto" w:line="240"/>
        <w:ind w:firstLine="850"/>
        <w:jc w:val="both"/>
        <w:rPr>
          <w:rFonts w:eastAsia="Times New Roman" w:cs="Times New Roman"/>
          <w:sz w:val="24"/>
          <w:szCs w:val="24"/>
          <w:lang w:val="pt-BR" w:eastAsia="zh-CN" w:bidi="hi-IN"/>
        </w:rPr>
      </w:pPr>
      <w:r>
        <w:rPr>
          <w:rFonts w:eastAsia="Times New Roman" w:cs="Times New Roman"/>
          <w:sz w:val="24"/>
          <w:szCs w:val="24"/>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sz w:val="20"/>
          <w:szCs w:val="20"/>
        </w:rPr>
      </w:pPr>
      <w:r>
        <w:rPr>
          <w:rFonts w:eastAsia="Times New Roman" w:cs="Times New Roman" w:ascii="Times New Roman" w:hAnsi="Times New Roman"/>
          <w:sz w:val="20"/>
          <w:szCs w:val="20"/>
          <w:lang w:val="pt-BR" w:eastAsia="zh-CN" w:bidi="hi-IN"/>
        </w:rPr>
        <w:t>“</w:t>
      </w:r>
      <w:r>
        <w:rPr>
          <w:rFonts w:eastAsia="Times New Roman" w:cs="Times New Roman" w:ascii="Times New Roman" w:hAnsi="Times New Roman"/>
          <w:sz w:val="20"/>
          <w:szCs w:val="20"/>
          <w:lang w:val="pt-BR" w:eastAsia="zh-CN" w:bidi="hi-IN"/>
        </w:rPr>
        <w:t>os conjuntos de documentos produzidos e recebidos por órgãos públicos, instituições de caráter público e entidades privadas, em decorrência do exercício de atividades específicas, bem como por pessoa física, qualquer que seja o suporte da informação ou a natureza dos documentos”. (Brasil, 1991)</w:t>
      </w:r>
    </w:p>
    <w:p>
      <w:pPr>
        <w:pStyle w:val="normal1"/>
        <w:spacing w:lineRule="auto" w:line="240"/>
        <w:ind w:firstLine="850"/>
        <w:jc w:val="both"/>
        <w:rPr>
          <w:rFonts w:eastAsia="Times New Roman" w:cs="Times New Roman"/>
          <w:sz w:val="24"/>
          <w:szCs w:val="24"/>
          <w:lang w:val="pt-BR" w:eastAsia="zh-CN" w:bidi="hi-IN"/>
        </w:rPr>
      </w:pPr>
      <w:r>
        <w:rPr>
          <w:rFonts w:eastAsia="Times New Roman" w:cs="Times New Roman"/>
          <w:sz w:val="24"/>
          <w:szCs w:val="24"/>
          <w:lang w:val="pt-BR" w:eastAsia="zh-CN" w:bidi="hi-I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Nesse sentido, a gestão documental está inserida em todas as funções de produção, tramitação, uso, avaliação e arquivamento de documentos, com foco na sua eliminação ou recolhimento. (Conarq, 2005)</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A gestão arquivística de documentos, conforme descrito por Jardim (2018) envolve todos os processos de produção, preservação, difusão, mecanismos de recuperação, infraestrutura física, legal, tecnológica, entre outros, e tem se tornado algo cada vez mais complexa nas últimas décadas. Isso se deve ao aumento da produção de documentos facilitado pelas tecnologias digitais.</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Portanto, a gestão arquivística de documentos perpassa por todas as atividades de uma organização, à medida que são produzidos e circulam para o cumprimento de seu objetivo, visando à ordenação para a recuperação da informação, a fim de atender a necessidade tanto do órgão quanto do cidadão.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Um programa de gestão arquivística de documentos bem estruturado tem o benefício da transparência, um dos pilares da sociedade contemporânea, a celeridade no acesso a documentos e informações do Poder Público, a simplificação de procedimentos administrativos burocráticos, a adequação às disposições da Constituição Federal e a Lei Federal nº 8.159/1991 no que diz respeito ao acesso à informação. (Bernardes; Delatorre. 2008).</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Consubstanciado ao programa de gestão documental, estão os instrumentos de gestão de documentos, do qual, a TTDD se apresenta como uma das ferramentas mais importantes neste processo.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Segundo Conceição e Brandão (2025), para tratar sobre a TTDD é necessário se efetivar o processo de avaliação documental, que ocorre a partir da análise dos documentos, orientada por uma Comissão Permanente de Avaliação de Documentos (CPAD) cujo instrumento técnico aplicado é a TTDD.</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Porém, “para que se possa iniciar a avaliação dos documentos, é importante realizar o tratamento documental junto com a classificação, possibilitando a organização hierárquica e ordenação dos documentos” e por meio desta realizar a identificação dos documentos e em seguida, a construção da TTDD (Conceição; Brandão, 2025, p. 6).</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Neste sentido, a aplicação da TTDD vem como uma solução para a destinação adequada dos documentos de arquivo com a transparência e segurança das informações relevantes, o cumprimento da legislação e normas vigentes, a instrumentalização para a tomada de decisões e o caminho na cientificação de direitos e deveres.</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Por este motivo, Bernardes e Delatorre (2008, p. 10) apontam que “o Plano de Classificação e a Tabela de Temporalidade de Documentos de Arquivo são instrumentos eficazes de gestão documental”, e se “apresentam como facilitadores, agregando eficiência e eficácia à administração, a fim de favorecer a atuação das instituições arquivísticas em suas esferas de atuação” (Chagas, 2023, p. 2-3).</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Sendo assim, os documentos digitais, assim como ocorre com os não digitais, necessitam desses instrumentos para se manterem recuperáveis e utilizáveis para atender as necessidades da administração.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Para Pinheiro (2016, p. 330) “a avaliação de documentos ocorre a partir da legislação em vigor, ou ainda, por meio de ato discricionário da instituição”, algo recorrente quando se trata de uma instituição pública como o CBMSC, que depende prioritariamente das normas e legislação que tratam da gestão de documentos para a avaliação de seus documentos no âmbito da administração pública estadual.</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Com isso, conforme apontado, a TTDD torna-se o produto da avaliação dos documentos e o instrumento que registra o ciclo de vida dos documentos, indicando os prazos de arquivamento no arquivo corrente, transferência para o arquivo intermediário e sua destinação final, se recolhimento ao arquivo permanente ou eliminação (Nascimento, 2025).</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Dos conceitos apresentados, observa-se que tanto o PCD e a TTDD, são instrumentos norteadores de gestão que contribuirão com a administração pública no cumprimento do Artigo 23 da Constituição Federal de 1988 e da Lei nº 8.159 de 1991.</w:t>
      </w:r>
    </w:p>
    <w:p>
      <w:pPr>
        <w:pStyle w:val="normal1"/>
        <w:spacing w:lineRule="auto" w:line="240"/>
        <w:ind w:firstLine="850" w:left="0"/>
        <w:jc w:val="both"/>
        <w:rPr>
          <w:rFonts w:ascii="Times New Roman" w:hAnsi="Times New Roman"/>
          <w:lang w:val="pt-BR" w:eastAsia="zh-CN" w:bidi="hi-IN"/>
        </w:rPr>
      </w:pPr>
      <w:r>
        <w:rPr>
          <w:rFonts w:ascii="Times New Roman" w:hAnsi="Times New Roman"/>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sz w:val="24"/>
          <w:szCs w:val="24"/>
          <w:lang w:val="pt-BR" w:eastAsia="zh-CN" w:bidi="hi-IN"/>
        </w:rPr>
        <w:t>2.2 O CORPO DE BOMBEIROS MILITAR DO ESTADO DE SANTA CATARINA</w:t>
      </w:r>
    </w:p>
    <w:p>
      <w:pPr>
        <w:pStyle w:val="normal1"/>
        <w:spacing w:lineRule="auto" w:line="240"/>
        <w:ind w:hanging="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b w:val="false"/>
          <w:bCs w:val="false"/>
          <w:i w:val="false"/>
          <w:iCs w:val="false"/>
          <w:sz w:val="24"/>
          <w:szCs w:val="24"/>
          <w:lang w:val="pt-BR" w:eastAsia="zh-CN" w:bidi="hi-IN"/>
        </w:rPr>
        <w:t>Na sequência, após a compreensão da importância da gestão documental por meio dos instrumentos de gestão, e dentre estas a TTDD, passa-se a descrever o órgão, objeto desta pesquisa, com foco na gestão arquivística de documentos.</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O CBMSC foi criado pela Lei nº 1.288 de 16 de setembro de 1919, sendo instalado pela primeira vez e fundado em 26 de setembro de 1926. (CBMSC, 20–)</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Até 2003, o CBMSC era um órgão pertencente à Polícia Militar do Estado de Santa Catarina (PMSC), porém em 13 de junho de 2003, por meio da Emenda Constitucional nº 33, a Corporação passou a ser um órgão emancipado e independente administrativamente da PMSC.</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Atualmente a Corporação segue o mesmo estatuto estabelecido pela Polícia Militar, a Lei nº 6.218 de 10 de fevereiro de 1983, uma vez que ambas são corporações militares do Estado.</w:t>
      </w:r>
    </w:p>
    <w:p>
      <w:pPr>
        <w:pStyle w:val="normal1"/>
        <w:spacing w:lineRule="auto" w:line="24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Ao Corpo de Bombeiros Militar do Estado são conferidas pelo Artigo nº 108 da Constituição Estadual de Santa Catarina as seguintes atribuições:</w:t>
      </w:r>
    </w:p>
    <w:p>
      <w:pPr>
        <w:pStyle w:val="normal1"/>
        <w:spacing w:lineRule="auto" w:line="240"/>
        <w:ind w:firstLine="85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I – realizar os serviços de prevenção de sinistros ou catástrofes, de combate a incêndio e de busca e salvamento de pessoas e bens e o atendimento pré-hospitalar;</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II – estabelecer normas relativas à segurança das pessoas e de seus bens contra incêndio, catástrofe ou produtos perigosos;</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III – analisar, previamente, os projetos de segurança contra incêndio em edificações, contra sinistros em áreas de risco e de armazenagem, manipulação e transporte de produtos perigosos, acompanhar e fiscalizar sua execução, e impor sanções administrativas estabelecidas em Lei;</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IV – realizar perícias de incêndio e de áreas sinistradas no limite de sua competência;</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V – colaborar com os órgãos da defesa civil;</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VI – exercer a polícia judiciária militar, nos termos de lei federal;</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VII – estabelecer a prevenção balneária por salva-vidas; e</w:t>
      </w:r>
    </w:p>
    <w:p>
      <w:pPr>
        <w:pStyle w:val="normal1"/>
        <w:spacing w:lineRule="auto" w:line="240"/>
        <w:ind w:hanging="0" w:left="2267"/>
        <w:jc w:val="both"/>
        <w:rPr>
          <w:rFonts w:ascii="Times New Roman" w:hAnsi="Times New Roman"/>
        </w:rPr>
      </w:pPr>
      <w:r>
        <w:rPr>
          <w:rFonts w:eastAsia="Times New Roman" w:cs="Times New Roman" w:ascii="Times New Roman" w:hAnsi="Times New Roman"/>
          <w:color w:val="auto"/>
          <w:sz w:val="20"/>
          <w:szCs w:val="20"/>
          <w:lang w:val="pt-BR" w:eastAsia="zh-CN" w:bidi="hi-IN"/>
        </w:rPr>
        <w:t>VIII – prevenir acidentes e incêndios na orla marítima e fluvial. (Santa Catarina, 2018)</w:t>
      </w:r>
    </w:p>
    <w:p>
      <w:pPr>
        <w:pStyle w:val="normal1"/>
        <w:spacing w:lineRule="auto" w:line="240" w:before="0" w:after="0"/>
        <w:ind w:firstLine="85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color w:val="auto"/>
          <w:sz w:val="24"/>
          <w:szCs w:val="24"/>
          <w:lang w:val="pt-BR" w:eastAsia="zh-CN" w:bidi="hi-IN"/>
        </w:rPr>
        <w:t>Figura 1 -</w:t>
      </w:r>
      <w:r>
        <w:rPr>
          <w:rFonts w:eastAsia="Times New Roman" w:cs="Times New Roman" w:ascii="Times New Roman" w:hAnsi="Times New Roman"/>
          <w:color w:val="auto"/>
          <w:sz w:val="24"/>
          <w:szCs w:val="24"/>
          <w:lang w:val="pt-BR" w:eastAsia="zh-CN" w:bidi="hi-IN"/>
        </w:rPr>
        <w:t xml:space="preserve"> Organograma Estrutural do Corpo de Bombeiros Militar de SC</w:t>
      </w:r>
    </w:p>
    <w:p>
      <w:pPr>
        <w:pStyle w:val="normal1"/>
        <w:spacing w:lineRule="auto" w:line="240"/>
        <w:jc w:val="center"/>
        <w:rPr>
          <w:rFonts w:ascii="Times New Roman" w:hAnsi="Times New Roman"/>
        </w:rPr>
      </w:pPr>
      <w:r>
        <w:rPr/>
        <w:drawing>
          <wp:inline distT="0" distB="0" distL="0" distR="0">
            <wp:extent cx="5760085" cy="4806950"/>
            <wp:effectExtent l="0" t="0" r="0" b="0"/>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2"/>
                    <a:stretch>
                      <a:fillRect/>
                    </a:stretch>
                  </pic:blipFill>
                  <pic:spPr bwMode="auto">
                    <a:xfrm>
                      <a:off x="0" y="0"/>
                      <a:ext cx="5760085" cy="4806950"/>
                    </a:xfrm>
                    <a:prstGeom prst="rect">
                      <a:avLst/>
                    </a:prstGeom>
                    <a:ln w="25400">
                      <a:solidFill>
                        <a:srgbClr val="000000"/>
                      </a:solidFill>
                    </a:ln>
                  </pic:spPr>
                </pic:pic>
              </a:graphicData>
            </a:graphic>
          </wp:inline>
        </w:drawing>
      </w:r>
    </w:p>
    <w:p>
      <w:pPr>
        <w:pStyle w:val="normal1"/>
        <w:spacing w:lineRule="auto" w:line="240" w:before="0" w:after="200"/>
        <w:jc w:val="both"/>
        <w:rPr>
          <w:rFonts w:ascii="Times New Roman" w:hAnsi="Times New Roman"/>
        </w:rPr>
      </w:pPr>
      <w:r>
        <w:rPr>
          <w:b w:val="false"/>
          <w:bCs w:val="false"/>
          <w:sz w:val="20"/>
          <w:szCs w:val="20"/>
        </w:rPr>
        <w:t>Fonte: Po</w:t>
      </w:r>
      <w:r>
        <w:rPr>
          <w:sz w:val="20"/>
          <w:szCs w:val="20"/>
        </w:rPr>
        <w:t>rtal do Corpo de Bombeiros Militar de SC (2024)</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Sua estrutura está prevista na Lei de Organização Básica (LOB), Lei Complementar (LC) nº 724 de 18 de julho de 2018, regulamentada pelo Decreto nº 1.328 de 14 de junho de 2021, conhecido como o Regulamento da Lei de Organização Básica (RLOB), em que no Art 4º se estabelece sua missão como a: “prevenção de sinistros ou catástrofes, o combate a incêndios, a busca e salvamento de pessoas e bens, a ajuda humanitária, o atendimento pré-hospitalar, a segurança contra incêndio e pânico, a perícia de incêndio e explosão.” (Santa Catarina, 2021).</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Nesse sentido, na estrutura organizacional, os órgãos de direção geral estão estruturados conforme o disposto nos artigos 8º, 9º e 10 da RLOB, que podem ser representados conforme organograma estrutural disposto da Figura 1.</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O organograma apresentado na Figura 1 está estruturado de forma hierárquica, sendo o setor de maior hierarquia posicionado no topo do organograma, e os setores subordinados de forma hierárquica. As cores representam o grupo a que os setores pertencem no organograma. O grupo de cor cinza representa os órgãos de direção geral, o de cor azul, os órgãos de direção operacional, o de cor verde, os órgãos de direção setorial, o de cor amarela, os órgãos de execução, e o grupo de cor laranja, os órgãos de apoio.</w:t>
      </w:r>
    </w:p>
    <w:p>
      <w:pPr>
        <w:pStyle w:val="normal1"/>
        <w:keepLines w:val="false"/>
        <w:widowControl w:val="false"/>
        <w:spacing w:lineRule="auto" w:line="24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As linhas que partem de baixo dos elementos, representam procedência hierárquica sobre os elementos que recebem as linhas por cima, e as linhas que partem do lado, representam a condição de assessoramento.</w:t>
      </w:r>
    </w:p>
    <w:p>
      <w:pPr>
        <w:pStyle w:val="normal1"/>
        <w:keepLines w:val="false"/>
        <w:widowControl w:val="false"/>
        <w:spacing w:lineRule="auto" w:line="24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 xml:space="preserve">No que diz respeito ao seu funcionamento, conforme apresentado em sua </w:t>
      </w:r>
      <w:r>
        <w:rPr>
          <w:rFonts w:eastAsia="Times New Roman" w:cs="Times New Roman" w:ascii="Times New Roman" w:hAnsi="Times New Roman"/>
          <w:i/>
          <w:iCs/>
          <w:color w:val="auto"/>
          <w:sz w:val="24"/>
          <w:szCs w:val="24"/>
          <w:lang w:val="pt-BR" w:eastAsia="zh-CN" w:bidi="hi-IN"/>
        </w:rPr>
        <w:t>homepage</w:t>
      </w:r>
      <w:r>
        <w:rPr>
          <w:rFonts w:eastAsia="Times New Roman" w:cs="Times New Roman" w:ascii="Times New Roman" w:hAnsi="Times New Roman"/>
          <w:color w:val="auto"/>
          <w:sz w:val="24"/>
          <w:szCs w:val="24"/>
          <w:lang w:val="pt-BR" w:eastAsia="zh-CN" w:bidi="hi-IN"/>
        </w:rPr>
        <w:t>, o CBMSC possui como missão “proteger a vida, o patrimônio e o meio ambiente”; como visão: “ser uma corporação de excelência na prestação, gestão e conhecimento de serviços de bombeiro, resguardando a vida, o patrimônio e o meio ambiente catarinense”, e como valores a “ética e probidade, comprometimento, profissionalismo, espírito de corpo e abnegação” (CBMSC, 2023).</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Quanto ao aspecto específico do funcionamento dos órgãos da Corporação, o Decreto nº 1.328 de 14 de junho de 2021 traz em detalhes e de forma organizada todas as atividades da estrutura do CBMSC, aos quais algumas destas se apresentam como sendo exclusivas do detentor da pasta/seção. Isso ocorre porque o detentor ou nomeado para o cargo está juridicamente responsável pela seção ao qual tenha sido nomeado. Assim, as atribuições da função de Comandante-Geral, por exemplo, são de responsabilidade do Oficial nomeado pelo Governador do Estado para a função, recebendo o apoio administrativo da seção denominada de Comando-Geral, que além do Comandante, é composta por outros integrantes.</w:t>
      </w:r>
    </w:p>
    <w:p>
      <w:pPr>
        <w:pStyle w:val="normal1"/>
        <w:spacing w:lineRule="auto" w:line="240"/>
        <w:ind w:firstLine="850" w:left="0"/>
        <w:jc w:val="both"/>
        <w:rPr>
          <w:rFonts w:ascii="Times New Roman" w:hAnsi="Times New Roman"/>
        </w:rPr>
      </w:pPr>
      <w:r>
        <w:rPr>
          <w:rFonts w:ascii="Times New Roman" w:hAnsi="Times New Roman"/>
        </w:rPr>
      </w:r>
    </w:p>
    <w:p>
      <w:pPr>
        <w:pStyle w:val="normal1"/>
        <w:spacing w:lineRule="auto" w:line="240"/>
        <w:ind w:hanging="0" w:left="0"/>
        <w:jc w:val="both"/>
        <w:rPr>
          <w:rFonts w:ascii="Times New Roman" w:hAnsi="Times New Roman"/>
          <w:sz w:val="24"/>
          <w:szCs w:val="24"/>
        </w:rPr>
      </w:pPr>
      <w:r>
        <w:rPr>
          <w:rFonts w:ascii="Times New Roman" w:hAnsi="Times New Roman"/>
          <w:sz w:val="24"/>
          <w:szCs w:val="24"/>
        </w:rPr>
        <w:t xml:space="preserve">2.3 </w:t>
      </w:r>
      <w:r>
        <w:rPr>
          <w:rFonts w:ascii="Times New Roman" w:hAnsi="Times New Roman"/>
          <w:sz w:val="24"/>
          <w:szCs w:val="24"/>
          <w:lang w:val="pt-BR" w:eastAsia="zh-CN" w:bidi="hi-IN"/>
        </w:rPr>
        <w:t>A GESTÃO NO CBMSC</w:t>
      </w:r>
    </w:p>
    <w:p>
      <w:pPr>
        <w:pStyle w:val="normal1"/>
        <w:spacing w:lineRule="auto" w:line="240"/>
        <w:ind w:firstLine="850" w:left="0"/>
        <w:jc w:val="both"/>
        <w:rPr>
          <w:rFonts w:ascii="Times New Roman" w:hAnsi="Times New Roman"/>
        </w:rPr>
      </w:pPr>
      <w:r>
        <w:rPr>
          <w:rFonts w:ascii="Times New Roman" w:hAnsi="Times New Roma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000000"/>
          <w:sz w:val="24"/>
          <w:szCs w:val="24"/>
          <w:shd w:fill="auto" w:val="clear"/>
          <w:lang w:val="pt-BR" w:eastAsia="zh-CN" w:bidi="hi-IN"/>
        </w:rPr>
        <w:t>No Estado de Santa Catarina, a avaliação e destinação de documentos</w:t>
      </w:r>
      <w:r>
        <w:rPr>
          <w:rFonts w:eastAsia="Times New Roman" w:cs="Times New Roman" w:ascii="Times New Roman" w:hAnsi="Times New Roman"/>
          <w:color w:val="auto"/>
          <w:sz w:val="24"/>
          <w:szCs w:val="24"/>
          <w:lang w:val="pt-BR" w:eastAsia="zh-CN" w:bidi="hi-IN"/>
        </w:rPr>
        <w:t xml:space="preserve"> da administração pública estadual está previsa pela Lei nº 9.747 de 26 de novembro de 1994, assim como a Gestão Documental, que esteve prevista pelo Decreto nº 3.585 de 7 de outubro de 2005, estando estruturada no modelo de gestão da LC nº 284 de 28 de fevereiro de 2005.</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Atualmente, após a instituição do programa Governo Sem Papel por meio do Decreto nº 39, de 21 de fevereiro de 2019, o Poder Executivo Estadual passou a ser estruturado pela LC nº 741 de 12 de junho de 2019, e o Sistema Administrativo de Gestão Documental e Publicação Oficial passou a estar amparado pelo Decreto nº 902 de 21 de outubro de 2020.</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Assim, de acordo com esta estrutura, o Corpo de Bombeiros Militar subordina-se administrativamente à Secretaria de Estado da Segurança Pública, e de acordo com o Art. 128 da LC nº 741/2019, subordina-se à Secretaria de Estado da Administração nas funções que lhe diz respeito, e entre elas o da gestão documental e publicação oficial.</w:t>
      </w:r>
    </w:p>
    <w:p>
      <w:pPr>
        <w:pStyle w:val="normal1"/>
        <w:widowControl w:val="false"/>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Acerca da caracterização do acervo, os arquivos físicos correntes e intermediários estão todos sediados em seus respectivos setores, com cerca de 115,13 metros lineares localizados nas unidades administrativas dos órgãos de direção, compreendido do período de 1958 a 2023, acondicionadas em parte em caixa de papelão padrão para arquivo e outra parte em caixa plástica polionda, identificadas por setor e ano de produção, dimensionadas conforme especificado no Quadro 1.</w:t>
      </w:r>
    </w:p>
    <w:p>
      <w:pPr>
        <w:pStyle w:val="normal1"/>
        <w:widowControl w:val="false"/>
        <w:spacing w:lineRule="auto" w:line="24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val="false"/>
        <w:spacing w:lineRule="auto" w:line="24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val="false"/>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bCs/>
          <w:color w:val="auto"/>
          <w:sz w:val="24"/>
          <w:szCs w:val="24"/>
          <w:lang w:val="pt-BR" w:eastAsia="zh-CN" w:bidi="hi-IN"/>
        </w:rPr>
        <w:t>Quadro 1</w:t>
      </w:r>
      <w:r>
        <w:rPr>
          <w:rFonts w:eastAsia="Times New Roman" w:cs="Times New Roman" w:ascii="Times New Roman" w:hAnsi="Times New Roman"/>
          <w:color w:val="auto"/>
          <w:sz w:val="24"/>
          <w:szCs w:val="24"/>
          <w:lang w:val="pt-BR" w:eastAsia="zh-CN" w:bidi="hi-IN"/>
        </w:rPr>
        <w:t xml:space="preserve"> – Caracterização dos Arquivos CBMSC</w:t>
      </w:r>
    </w:p>
    <w:tbl>
      <w:tblPr>
        <w:tblW w:w="5000" w:type="pct"/>
        <w:jc w:val="left"/>
        <w:tblInd w:w="55" w:type="dxa"/>
        <w:tblLayout w:type="fixed"/>
        <w:tblCellMar>
          <w:top w:w="55" w:type="dxa"/>
          <w:left w:w="55" w:type="dxa"/>
          <w:bottom w:w="55" w:type="dxa"/>
          <w:right w:w="55" w:type="dxa"/>
        </w:tblCellMar>
      </w:tblPr>
      <w:tblGrid>
        <w:gridCol w:w="2059"/>
        <w:gridCol w:w="2392"/>
        <w:gridCol w:w="2334"/>
        <w:gridCol w:w="2285"/>
      </w:tblGrid>
      <w:tr>
        <w:trPr/>
        <w:tc>
          <w:tcPr>
            <w:tcW w:w="2059" w:type="dxa"/>
            <w:tcBorders>
              <w:top w:val="single" w:sz="4" w:space="0" w:color="000000"/>
              <w:left w:val="single" w:sz="4" w:space="0" w:color="000000"/>
              <w:bottom w:val="single" w:sz="4" w:space="0" w:color="000000"/>
            </w:tcBorders>
            <w:shd w:fill="EEEEEE" w:val="clear"/>
          </w:tcPr>
          <w:p>
            <w:pPr>
              <w:pStyle w:val="Contedodatabela"/>
              <w:spacing w:lineRule="auto" w:line="240"/>
              <w:rPr>
                <w:rFonts w:ascii="Times New Roman" w:hAnsi="Times New Roman"/>
              </w:rPr>
            </w:pPr>
            <w:r>
              <w:rPr>
                <w:b/>
                <w:bCs/>
                <w:lang w:val="pt-BR" w:eastAsia="zh-CN" w:bidi="hi-IN"/>
              </w:rPr>
              <w:t>Arquivo</w:t>
            </w:r>
          </w:p>
        </w:tc>
        <w:tc>
          <w:tcPr>
            <w:tcW w:w="2392" w:type="dxa"/>
            <w:tcBorders>
              <w:top w:val="single" w:sz="4" w:space="0" w:color="000000"/>
              <w:left w:val="single" w:sz="4" w:space="0" w:color="000000"/>
              <w:bottom w:val="single" w:sz="4" w:space="0" w:color="000000"/>
            </w:tcBorders>
            <w:shd w:fill="EEEEEE" w:val="clear"/>
          </w:tcPr>
          <w:p>
            <w:pPr>
              <w:pStyle w:val="Contedodatabela"/>
              <w:spacing w:lineRule="auto" w:line="240"/>
              <w:rPr>
                <w:rFonts w:ascii="Times New Roman" w:hAnsi="Times New Roman"/>
              </w:rPr>
            </w:pPr>
            <w:r>
              <w:rPr>
                <w:b/>
                <w:bCs/>
                <w:lang w:val="pt-BR" w:eastAsia="zh-CN" w:bidi="hi-IN"/>
              </w:rPr>
              <w:t>Tipos</w:t>
            </w:r>
          </w:p>
        </w:tc>
        <w:tc>
          <w:tcPr>
            <w:tcW w:w="2334" w:type="dxa"/>
            <w:tcBorders>
              <w:top w:val="single" w:sz="4" w:space="0" w:color="000000"/>
              <w:left w:val="single" w:sz="4" w:space="0" w:color="000000"/>
              <w:bottom w:val="single" w:sz="4" w:space="0" w:color="000000"/>
            </w:tcBorders>
            <w:shd w:fill="EEEEEE" w:val="clear"/>
          </w:tcPr>
          <w:p>
            <w:pPr>
              <w:pStyle w:val="Contedodatabela"/>
              <w:spacing w:lineRule="auto" w:line="240"/>
              <w:rPr>
                <w:rFonts w:ascii="Times New Roman" w:hAnsi="Times New Roman"/>
              </w:rPr>
            </w:pPr>
            <w:r>
              <w:rPr>
                <w:b/>
                <w:bCs/>
                <w:lang w:val="pt-BR" w:eastAsia="zh-CN" w:bidi="hi-IN"/>
              </w:rPr>
              <w:t>Período</w:t>
            </w:r>
          </w:p>
        </w:tc>
        <w:tc>
          <w:tcPr>
            <w:tcW w:w="2285" w:type="dxa"/>
            <w:tcBorders>
              <w:top w:val="single" w:sz="4" w:space="0" w:color="000000"/>
              <w:left w:val="single" w:sz="4" w:space="0" w:color="000000"/>
              <w:bottom w:val="single" w:sz="4" w:space="0" w:color="000000"/>
              <w:right w:val="single" w:sz="4" w:space="0" w:color="000000"/>
            </w:tcBorders>
            <w:shd w:fill="EEEEEE" w:val="clear"/>
          </w:tcPr>
          <w:p>
            <w:pPr>
              <w:pStyle w:val="Contedodatabela"/>
              <w:spacing w:lineRule="auto" w:line="240"/>
              <w:rPr>
                <w:rFonts w:ascii="Times New Roman" w:hAnsi="Times New Roman"/>
              </w:rPr>
            </w:pPr>
            <w:r>
              <w:rPr>
                <w:b/>
                <w:bCs/>
                <w:lang w:val="pt-BR" w:eastAsia="zh-CN" w:bidi="hi-IN"/>
              </w:rPr>
              <w:t>Quantidade</w:t>
            </w:r>
          </w:p>
        </w:tc>
      </w:tr>
      <w:tr>
        <w:trPr/>
        <w:tc>
          <w:tcPr>
            <w:tcW w:w="2059"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Comando-Geral</w:t>
            </w:r>
          </w:p>
        </w:tc>
        <w:tc>
          <w:tcPr>
            <w:tcW w:w="2392"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Doc. Administrativos</w:t>
            </w:r>
          </w:p>
        </w:tc>
        <w:tc>
          <w:tcPr>
            <w:tcW w:w="2334"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1958-2022</w:t>
            </w:r>
          </w:p>
        </w:tc>
        <w:tc>
          <w:tcPr>
            <w:tcW w:w="2285"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rPr>
            </w:pPr>
            <w:r>
              <w:rPr>
                <w:lang w:val="pt-BR" w:eastAsia="zh-CN" w:bidi="hi-IN"/>
              </w:rPr>
              <w:t>19,56 m lineares</w:t>
            </w:r>
          </w:p>
        </w:tc>
      </w:tr>
      <w:tr>
        <w:trPr/>
        <w:tc>
          <w:tcPr>
            <w:tcW w:w="2059"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Corregedoria-Geral</w:t>
            </w:r>
          </w:p>
        </w:tc>
        <w:tc>
          <w:tcPr>
            <w:tcW w:w="2392"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Doc. Correicionais</w:t>
            </w:r>
          </w:p>
        </w:tc>
        <w:tc>
          <w:tcPr>
            <w:tcW w:w="2334"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2003-2019</w:t>
            </w:r>
          </w:p>
        </w:tc>
        <w:tc>
          <w:tcPr>
            <w:tcW w:w="2285"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rPr>
            </w:pPr>
            <w:r>
              <w:rPr>
                <w:lang w:val="pt-BR" w:eastAsia="zh-CN" w:bidi="hi-IN"/>
              </w:rPr>
              <w:t>29,4 m lineares</w:t>
            </w:r>
          </w:p>
        </w:tc>
      </w:tr>
      <w:tr>
        <w:trPr/>
        <w:tc>
          <w:tcPr>
            <w:tcW w:w="2059"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Centro de Ensino</w:t>
            </w:r>
          </w:p>
        </w:tc>
        <w:tc>
          <w:tcPr>
            <w:tcW w:w="2392"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Doc. Acadêmicos, administrativos</w:t>
            </w:r>
          </w:p>
        </w:tc>
        <w:tc>
          <w:tcPr>
            <w:tcW w:w="2334"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2003-2023</w:t>
            </w:r>
          </w:p>
        </w:tc>
        <w:tc>
          <w:tcPr>
            <w:tcW w:w="2285"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rPr>
            </w:pPr>
            <w:r>
              <w:rPr>
                <w:lang w:val="pt-BR" w:eastAsia="zh-CN" w:bidi="hi-IN"/>
              </w:rPr>
              <w:t>18,89 m lineares</w:t>
            </w:r>
          </w:p>
        </w:tc>
      </w:tr>
      <w:tr>
        <w:trPr/>
        <w:tc>
          <w:tcPr>
            <w:tcW w:w="2059"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Diretoria de Logística e Finanças</w:t>
            </w:r>
          </w:p>
        </w:tc>
        <w:tc>
          <w:tcPr>
            <w:tcW w:w="2392"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Doc. Contábeis</w:t>
            </w:r>
          </w:p>
        </w:tc>
        <w:tc>
          <w:tcPr>
            <w:tcW w:w="2334"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2003-2019</w:t>
            </w:r>
          </w:p>
        </w:tc>
        <w:tc>
          <w:tcPr>
            <w:tcW w:w="2285"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rPr>
            </w:pPr>
            <w:r>
              <w:rPr>
                <w:lang w:val="pt-BR" w:eastAsia="zh-CN" w:bidi="hi-IN"/>
              </w:rPr>
              <w:t>30 m lineares</w:t>
            </w:r>
          </w:p>
        </w:tc>
      </w:tr>
      <w:tr>
        <w:trPr/>
        <w:tc>
          <w:tcPr>
            <w:tcW w:w="2059"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Diretoria de Instrução e Ensino</w:t>
            </w:r>
          </w:p>
        </w:tc>
        <w:tc>
          <w:tcPr>
            <w:tcW w:w="2392"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Doc. Administrativos</w:t>
            </w:r>
          </w:p>
        </w:tc>
        <w:tc>
          <w:tcPr>
            <w:tcW w:w="2334" w:type="dxa"/>
            <w:tcBorders>
              <w:left w:val="single" w:sz="4" w:space="0" w:color="000000"/>
              <w:bottom w:val="single" w:sz="4" w:space="0" w:color="000000"/>
            </w:tcBorders>
          </w:tcPr>
          <w:p>
            <w:pPr>
              <w:pStyle w:val="Contedodatabela"/>
              <w:spacing w:lineRule="auto" w:line="240"/>
              <w:rPr>
                <w:rFonts w:ascii="Times New Roman" w:hAnsi="Times New Roman"/>
              </w:rPr>
            </w:pPr>
            <w:r>
              <w:rPr>
                <w:lang w:val="pt-BR" w:eastAsia="zh-CN" w:bidi="hi-IN"/>
              </w:rPr>
              <w:t>Não avaliado</w:t>
            </w:r>
          </w:p>
        </w:tc>
        <w:tc>
          <w:tcPr>
            <w:tcW w:w="2285"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rPr>
            </w:pPr>
            <w:r>
              <w:rPr>
                <w:lang w:val="pt-BR" w:eastAsia="zh-CN" w:bidi="hi-IN"/>
              </w:rPr>
              <w:t>17,28 m lineares</w:t>
            </w:r>
          </w:p>
        </w:tc>
      </w:tr>
    </w:tbl>
    <w:p>
      <w:pPr>
        <w:pStyle w:val="normal1"/>
        <w:widowControl w:val="false"/>
        <w:spacing w:lineRule="auto" w:line="240"/>
        <w:ind w:hanging="0" w:left="0"/>
        <w:jc w:val="both"/>
        <w:rPr>
          <w:rFonts w:ascii="Times New Roman" w:hAnsi="Times New Roman"/>
        </w:rPr>
      </w:pPr>
      <w:r>
        <w:rPr>
          <w:rFonts w:eastAsia="Times New Roman" w:cs="Times New Roman" w:ascii="Times New Roman" w:hAnsi="Times New Roman"/>
          <w:b w:val="false"/>
          <w:bCs w:val="false"/>
          <w:color w:val="auto"/>
          <w:sz w:val="20"/>
          <w:szCs w:val="20"/>
          <w:lang w:val="pt-BR" w:eastAsia="zh-CN" w:bidi="hi-IN"/>
        </w:rPr>
        <w:t>Fonte: Dados da Pesquisa</w:t>
      </w:r>
      <w:r>
        <w:rPr>
          <w:rFonts w:eastAsia="Times New Roman" w:cs="Times New Roman" w:ascii="Times New Roman" w:hAnsi="Times New Roman"/>
          <w:color w:val="auto"/>
          <w:sz w:val="20"/>
          <w:szCs w:val="20"/>
          <w:lang w:val="pt-BR" w:eastAsia="zh-CN" w:bidi="hi-IN"/>
        </w:rPr>
        <w:t xml:space="preserve"> (2023).</w:t>
      </w:r>
    </w:p>
    <w:p>
      <w:pPr>
        <w:pStyle w:val="normal1"/>
        <w:widowControl w:val="false"/>
        <w:spacing w:lineRule="auto" w:line="240"/>
        <w:ind w:hanging="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val="false"/>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Soma-se a esses documentos, uma massa documental que não foi possível especificar sua dimensão por estarem reunidas nos demais quartéis operacionais da Corporação, em 138 municípios do Estado, o que dispenderia um tempo muito maior para sua contabilização.</w:t>
      </w:r>
    </w:p>
    <w:p>
      <w:pPr>
        <w:pStyle w:val="normal1"/>
        <w:widowControl w:val="false"/>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Durante o processo de contabilização dos arquivos dos órgãos de direção, observou-se documentos pertencentes a atividade-meio e fim conjuntamente, sem conhecer-se a quantidade de documentos de cada atividade, uma vez que muitos ainda não foram avaliados.</w:t>
      </w:r>
    </w:p>
    <w:p>
      <w:pPr>
        <w:pStyle w:val="normal1"/>
        <w:widowControl w:val="false"/>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Quanto aos documentos em suporte digital da Corporação, estes estão sob a responsabilidade da Secretaria de Estado da Ciência Tecnologia e Inovação, em servidores do Centro de Informática e Automação do Estado de Santa Catarina S.A. (CIASC), sendo geridos pelo Sistema de Gestão de Processos Eletrônicos - SGPE, contendo um acervo crescente cuja produção documental iniciou-se em janeiro de 2018, porém não contabilizado nesta pesquisa.</w:t>
      </w:r>
    </w:p>
    <w:p>
      <w:pPr>
        <w:pStyle w:val="normal1"/>
        <w:widowControl w:val="false"/>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Porém, como se trata de processo de avaliação arquivística de documentos do CBMSC, para esta pesquisa, procurou-se incluir tanto os documentos em suporte papel arquivados nas seções do Órgão, quanto os documentos digitais em processo de produção, e que também estão sendo arquivados no SGPE.</w:t>
      </w:r>
    </w:p>
    <w:p>
      <w:pPr>
        <w:pStyle w:val="normal1"/>
        <w:spacing w:lineRule="auto" w:line="24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b/>
          <w:bCs/>
          <w:color w:val="000000"/>
          <w:sz w:val="24"/>
          <w:szCs w:val="24"/>
          <w:shd w:fill="auto" w:val="clear"/>
          <w:lang w:val="pt-BR" w:eastAsia="zh-CN" w:bidi="hi-IN"/>
        </w:rPr>
        <w:t>3 PROCEDIMENTOS METODOLÓGICOS</w:t>
      </w:r>
    </w:p>
    <w:p>
      <w:pPr>
        <w:pStyle w:val="normal1"/>
        <w:spacing w:lineRule="auto" w:line="24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Esta pesquisa possui uma abordagem qualitativa, e de acordo com o objetivo é exploratória e descritiva, procedido tecnicamente por meio de estudo de caso, ao qual passamos a pontuar.</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Segundo Gil (2017, p. 32), a pesquisa exploratória visa “proporcionar maior familiaridade com o problema, a fim de torná-lo explícito”, cuja “coleta de dados pode ocorrer de diversas maneiras, como o levantamento bibliográfico e entrevistas com pessoas que tiveram experiência prática.”</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Quanto ao método empregado, optou-se por uma pesquisa bibliográfica, com material publicado na área, documental, dos documentos institucionais mantidos nos arquivos do órgão (Gil, 2017) e o de estudo de caso, que segundo Gil (2017, p. 37) “consiste no estudo profundo e exaustivo de um ou poucos casos, de maneira que permita seu amplo e detalhado conhecimento;” ou ainda, como aponta Creswell (2010, p. 38) “é uma estratégia de investigação em que o pesquisador explora profundamente um programa, um evento, uma atividade, um processo ou um ou mais indivíduos.”</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Para esta pesquisa foram utilizados documentos, normas e legislação mais atuais da instituição pesquisada, assim como as que estavam vigentes no período em que a instituição começou a trabalhar em sua</w:t>
      </w:r>
      <w:r>
        <w:rPr>
          <w:rFonts w:eastAsia="Times New Roman" w:cs="Times New Roman" w:ascii="Times New Roman" w:hAnsi="Times New Roman"/>
          <w:color w:val="000000"/>
          <w:sz w:val="24"/>
          <w:szCs w:val="24"/>
          <w:shd w:fill="auto" w:val="clear"/>
          <w:lang w:val="pt-BR" w:eastAsia="zh-CN" w:bidi="hi-IN"/>
        </w:rPr>
        <w:t xml:space="preserve"> primeira TTDD no ano de 2009, logo após a criação da Comissão Permanente de Avaliação de Documentos (CPAD)</w:t>
      </w:r>
      <w:r>
        <w:rPr>
          <w:rFonts w:eastAsia="Times New Roman" w:cs="Times New Roman" w:ascii="Times New Roman" w:hAnsi="Times New Roman"/>
          <w:color w:val="auto"/>
          <w:sz w:val="24"/>
          <w:szCs w:val="24"/>
          <w:lang w:val="pt-BR" w:eastAsia="zh-CN" w:bidi="hi-IN"/>
        </w:rPr>
        <w:t>, a fim de identificar as diretrizes e  normativas vigentes no Estado que dizem respeito à elaboração e revisão da TTDD e descrever o seu processo de formalização no CBMSC (objetivos específicos “a” e “b”).</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Além disso, incluíram-se informações recolhidas pelo próprio pesquisador em documentos institucionais, que esteve presente em todo o processo no papel de observador participante por ser um membro atuante na instituição, conforme apontado por Chizzotti (2018, p. 25), segundo o qual na “observação participante o pesquisador se encontra implicado no processo de observação e constrói as evidências observadas na interação com outros pares que constroem o conhecimento.”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No que diz respeito ao caráter bibliográfico desta pesquisa, visando construir o referencial teórico, fez-se o levantamento de conceitos com base na literatura da área, buscando-se primeiramente os autores mais conhecidos na área da Arquivologia que tratam da gestão documental e instrumentos de gestão documental, assim como também os mais atuais, com o fim de se atender ao objetivo de se propor a adequação e a atualização da TTDD do CBMSC a partir de duas atividades de uma mesma subfunção.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Inicialmente buscou-se na Base de Dados em Ciência da Informação (BRAPCI), informações acerca da tabela de temporalidade e gestão documental, e obteve-se o seguinte resultado, apresentado no Quadro 2.</w:t>
      </w:r>
    </w:p>
    <w:p>
      <w:pPr>
        <w:pStyle w:val="normal1"/>
        <w:spacing w:lineRule="auto" w:line="24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jc w:val="center"/>
        <w:rPr>
          <w:rFonts w:ascii="Times New Roman" w:hAnsi="Times New Roman"/>
        </w:rPr>
      </w:pPr>
      <w:r>
        <w:rPr>
          <w:rFonts w:ascii="Times New Roman" w:hAnsi="Times New Roman"/>
          <w:b/>
          <w:bCs/>
          <w:color w:val="auto"/>
          <w:sz w:val="24"/>
          <w:szCs w:val="24"/>
          <w:lang w:val="pt-BR" w:eastAsia="zh-CN" w:bidi="hi-IN"/>
        </w:rPr>
        <w:t>Quadro 2</w:t>
      </w:r>
      <w:r>
        <w:rPr>
          <w:rFonts w:ascii="Times New Roman" w:hAnsi="Times New Roman"/>
          <w:b w:val="false"/>
          <w:bCs w:val="false"/>
          <w:color w:val="auto"/>
          <w:sz w:val="24"/>
          <w:szCs w:val="24"/>
          <w:lang w:val="pt-BR" w:eastAsia="zh-CN" w:bidi="hi-IN"/>
        </w:rPr>
        <w:t xml:space="preserve"> - Levantamento Bibliográfico</w:t>
      </w:r>
    </w:p>
    <w:tbl>
      <w:tblPr>
        <w:tblStyle w:val="Table1"/>
        <w:tblW w:w="9045" w:type="dxa"/>
        <w:jc w:val="left"/>
        <w:tblInd w:w="139" w:type="dxa"/>
        <w:tblLayout w:type="fixed"/>
        <w:tblCellMar>
          <w:top w:w="100" w:type="dxa"/>
          <w:left w:w="100" w:type="dxa"/>
          <w:bottom w:w="100" w:type="dxa"/>
          <w:right w:w="100" w:type="dxa"/>
        </w:tblCellMar>
        <w:tblLook w:val="0600"/>
      </w:tblPr>
      <w:tblGrid>
        <w:gridCol w:w="3000"/>
        <w:gridCol w:w="6044"/>
      </w:tblGrid>
      <w:tr>
        <w:trPr/>
        <w:tc>
          <w:tcPr>
            <w:tcW w:w="3000" w:type="dxa"/>
            <w:tcBorders>
              <w:top w:val="single" w:sz="8" w:space="0" w:color="000000"/>
              <w:left w:val="single" w:sz="8" w:space="0" w:color="000000"/>
              <w:bottom w:val="single" w:sz="8" w:space="0" w:color="000000"/>
              <w:right w:val="single" w:sz="8" w:space="0" w:color="000000"/>
            </w:tcBorders>
            <w:shd w:fill="EEEEEE" w:val="clear"/>
          </w:tcPr>
          <w:p>
            <w:pPr>
              <w:pStyle w:val="normal1"/>
              <w:widowControl w:val="false"/>
              <w:spacing w:lineRule="auto" w:line="240"/>
              <w:rPr>
                <w:rFonts w:ascii="Times New Roman" w:hAnsi="Times New Roman"/>
                <w:b/>
                <w:bCs/>
              </w:rPr>
            </w:pPr>
            <w:r>
              <w:rPr>
                <w:rFonts w:ascii="Times New Roman" w:hAnsi="Times New Roman"/>
                <w:b/>
                <w:bCs/>
                <w:color w:val="auto"/>
                <w:sz w:val="24"/>
                <w:szCs w:val="24"/>
                <w:lang w:val="pt-BR" w:eastAsia="zh-CN" w:bidi="hi-IN"/>
              </w:rPr>
              <w:t>Base de dados</w:t>
            </w:r>
          </w:p>
        </w:tc>
        <w:tc>
          <w:tcPr>
            <w:tcW w:w="6044" w:type="dxa"/>
            <w:tcBorders>
              <w:top w:val="single" w:sz="8" w:space="0" w:color="000000"/>
              <w:left w:val="single" w:sz="8" w:space="0" w:color="000000"/>
              <w:bottom w:val="single" w:sz="8" w:space="0" w:color="000000"/>
              <w:right w:val="single" w:sz="8" w:space="0" w:color="000000"/>
            </w:tcBorders>
          </w:tcPr>
          <w:p>
            <w:pPr>
              <w:pStyle w:val="normal1"/>
              <w:widowControl w:val="false"/>
              <w:spacing w:lineRule="auto" w:line="240"/>
              <w:jc w:val="center"/>
              <w:rPr>
                <w:b w:val="false"/>
                <w:bCs w:val="false"/>
              </w:rPr>
            </w:pPr>
            <w:r>
              <w:rPr>
                <w:rFonts w:ascii="Times New Roman" w:hAnsi="Times New Roman"/>
                <w:b w:val="false"/>
                <w:bCs w:val="false"/>
                <w:sz w:val="24"/>
                <w:szCs w:val="24"/>
              </w:rPr>
              <w:t>BRAPCI</w:t>
            </w:r>
          </w:p>
        </w:tc>
      </w:tr>
      <w:tr>
        <w:trPr/>
        <w:tc>
          <w:tcPr>
            <w:tcW w:w="3000" w:type="dxa"/>
            <w:tcBorders>
              <w:top w:val="single" w:sz="8" w:space="0" w:color="000000"/>
              <w:left w:val="single" w:sz="8" w:space="0" w:color="000000"/>
              <w:bottom w:val="single" w:sz="8" w:space="0" w:color="000000"/>
              <w:right w:val="single" w:sz="8" w:space="0" w:color="000000"/>
            </w:tcBorders>
            <w:shd w:fill="EEEEEE" w:val="clear"/>
          </w:tcPr>
          <w:p>
            <w:pPr>
              <w:pStyle w:val="normal1"/>
              <w:widowControl w:val="false"/>
              <w:spacing w:lineRule="auto" w:line="240"/>
              <w:rPr>
                <w:rFonts w:ascii="Times New Roman" w:hAnsi="Times New Roman"/>
                <w:b/>
                <w:bCs/>
              </w:rPr>
            </w:pPr>
            <w:r>
              <w:rPr>
                <w:rFonts w:ascii="Times New Roman" w:hAnsi="Times New Roman"/>
                <w:b/>
                <w:bCs/>
                <w:color w:val="auto"/>
                <w:sz w:val="24"/>
                <w:szCs w:val="24"/>
                <w:lang w:val="pt-BR" w:eastAsia="zh-CN" w:bidi="hi-IN"/>
              </w:rPr>
              <w:t>Palavras-chave</w:t>
            </w:r>
          </w:p>
        </w:tc>
        <w:tc>
          <w:tcPr>
            <w:tcW w:w="604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lang w:val="pt-BR" w:eastAsia="zh-CN" w:bidi="hi-IN"/>
              </w:rPr>
            </w:pPr>
            <w:r>
              <w:rPr>
                <w:rFonts w:ascii="Times New Roman" w:hAnsi="Times New Roman"/>
                <w:sz w:val="24"/>
                <w:szCs w:val="24"/>
                <w:lang w:val="pt-BR" w:eastAsia="zh-CN" w:bidi="hi-IN"/>
              </w:rPr>
              <w:t>T1: “tabela de temporalidade”</w:t>
            </w:r>
          </w:p>
          <w:p>
            <w:pPr>
              <w:pStyle w:val="normal1"/>
              <w:widowControl w:val="false"/>
              <w:spacing w:lineRule="auto" w:line="240"/>
              <w:jc w:val="center"/>
              <w:rPr>
                <w:lang w:val="pt-BR" w:eastAsia="zh-CN" w:bidi="hi-IN"/>
              </w:rPr>
            </w:pPr>
            <w:r>
              <w:rPr>
                <w:rFonts w:ascii="Times New Roman" w:hAnsi="Times New Roman"/>
                <w:sz w:val="24"/>
                <w:szCs w:val="24"/>
                <w:lang w:val="pt-BR" w:eastAsia="zh-CN" w:bidi="hi-IN"/>
              </w:rPr>
              <w:t>T2: “gestão de documental” AND público</w:t>
            </w:r>
          </w:p>
        </w:tc>
      </w:tr>
      <w:tr>
        <w:trPr>
          <w:trHeight w:val="823" w:hRule="atLeast"/>
        </w:trPr>
        <w:tc>
          <w:tcPr>
            <w:tcW w:w="3000" w:type="dxa"/>
            <w:tcBorders>
              <w:top w:val="single" w:sz="8" w:space="0" w:color="000000"/>
              <w:left w:val="single" w:sz="8" w:space="0" w:color="000000"/>
              <w:bottom w:val="single" w:sz="8" w:space="0" w:color="000000"/>
              <w:right w:val="single" w:sz="8" w:space="0" w:color="000000"/>
            </w:tcBorders>
            <w:shd w:fill="EEEEEE" w:val="clear"/>
          </w:tcPr>
          <w:p>
            <w:pPr>
              <w:pStyle w:val="normal1"/>
              <w:widowControl w:val="false"/>
              <w:spacing w:lineRule="auto" w:line="240"/>
              <w:rPr>
                <w:rFonts w:ascii="Times New Roman" w:hAnsi="Times New Roman"/>
                <w:b/>
                <w:bCs/>
                <w:sz w:val="24"/>
                <w:szCs w:val="24"/>
                <w:lang w:val="pt-BR" w:eastAsia="zh-CN" w:bidi="hi-IN"/>
              </w:rPr>
            </w:pPr>
            <w:r>
              <w:rPr>
                <w:rFonts w:ascii="Times New Roman" w:hAnsi="Times New Roman"/>
                <w:b/>
                <w:bCs/>
                <w:color w:val="auto"/>
                <w:sz w:val="24"/>
                <w:szCs w:val="24"/>
                <w:lang w:val="pt-BR" w:eastAsia="zh-CN" w:bidi="hi-IN"/>
              </w:rPr>
              <w:t>Filtros</w:t>
            </w:r>
          </w:p>
        </w:tc>
        <w:tc>
          <w:tcPr>
            <w:tcW w:w="6044" w:type="dxa"/>
            <w:tcBorders>
              <w:top w:val="single" w:sz="8" w:space="0" w:color="000000"/>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rFonts w:ascii="Times New Roman" w:hAnsi="Times New Roman"/>
                <w:sz w:val="24"/>
                <w:szCs w:val="24"/>
                <w:lang w:val="pt-BR" w:eastAsia="zh-CN" w:bidi="hi-IN"/>
              </w:rPr>
            </w:pPr>
            <w:r>
              <w:rPr>
                <w:rFonts w:ascii="Times New Roman" w:hAnsi="Times New Roman"/>
                <w:sz w:val="24"/>
                <w:szCs w:val="24"/>
                <w:lang w:val="pt-BR" w:eastAsia="zh-CN" w:bidi="hi-IN"/>
              </w:rPr>
              <w:t>2020-2025</w:t>
            </w:r>
          </w:p>
          <w:p>
            <w:pPr>
              <w:pStyle w:val="normal1"/>
              <w:widowControl w:val="false"/>
              <w:spacing w:lineRule="auto" w:line="240"/>
              <w:jc w:val="center"/>
              <w:rPr>
                <w:rFonts w:ascii="Times New Roman" w:hAnsi="Times New Roman"/>
                <w:sz w:val="24"/>
                <w:szCs w:val="24"/>
                <w:lang w:val="pt-BR" w:eastAsia="zh-CN" w:bidi="hi-IN"/>
              </w:rPr>
            </w:pPr>
            <w:r>
              <w:rPr>
                <w:rFonts w:ascii="Times New Roman" w:hAnsi="Times New Roman"/>
                <w:sz w:val="24"/>
                <w:szCs w:val="24"/>
                <w:lang w:val="pt-BR" w:eastAsia="zh-CN" w:bidi="hi-IN"/>
              </w:rPr>
              <w:t>Palavras-chave</w:t>
            </w:r>
          </w:p>
        </w:tc>
      </w:tr>
      <w:tr>
        <w:trPr>
          <w:trHeight w:val="823" w:hRule="atLeast"/>
        </w:trPr>
        <w:tc>
          <w:tcPr>
            <w:tcW w:w="3000" w:type="dxa"/>
            <w:tcBorders>
              <w:left w:val="single" w:sz="8" w:space="0" w:color="000000"/>
              <w:bottom w:val="single" w:sz="8" w:space="0" w:color="000000"/>
              <w:right w:val="single" w:sz="8" w:space="0" w:color="000000"/>
            </w:tcBorders>
            <w:shd w:fill="EEEEEE" w:val="clear"/>
          </w:tcPr>
          <w:p>
            <w:pPr>
              <w:pStyle w:val="normal1"/>
              <w:widowControl w:val="false"/>
              <w:spacing w:lineRule="auto" w:line="240"/>
              <w:rPr>
                <w:rFonts w:ascii="Times New Roman" w:hAnsi="Times New Roman"/>
                <w:b/>
                <w:bCs/>
                <w:sz w:val="24"/>
                <w:szCs w:val="24"/>
                <w:lang w:val="pt-BR" w:eastAsia="zh-CN" w:bidi="hi-IN"/>
              </w:rPr>
            </w:pPr>
            <w:r>
              <w:rPr>
                <w:rFonts w:ascii="Times New Roman" w:hAnsi="Times New Roman"/>
                <w:b/>
                <w:bCs/>
                <w:sz w:val="24"/>
                <w:szCs w:val="24"/>
                <w:lang w:val="pt-BR" w:eastAsia="zh-CN" w:bidi="hi-IN"/>
              </w:rPr>
              <w:t>Resultados obtidos</w:t>
            </w:r>
          </w:p>
        </w:tc>
        <w:tc>
          <w:tcPr>
            <w:tcW w:w="6044" w:type="dxa"/>
            <w:tcBorders>
              <w:left w:val="single" w:sz="8" w:space="0" w:color="000000"/>
              <w:bottom w:val="single" w:sz="8" w:space="0" w:color="000000"/>
              <w:right w:val="single" w:sz="8" w:space="0" w:color="000000"/>
            </w:tcBorders>
            <w:shd w:fill="auto" w:val="clear"/>
          </w:tcPr>
          <w:p>
            <w:pPr>
              <w:pStyle w:val="normal1"/>
              <w:widowControl w:val="false"/>
              <w:spacing w:lineRule="auto" w:line="240"/>
              <w:jc w:val="center"/>
              <w:rPr>
                <w:rFonts w:ascii="Times New Roman" w:hAnsi="Times New Roman"/>
                <w:sz w:val="24"/>
                <w:szCs w:val="24"/>
                <w:lang w:val="pt-BR" w:eastAsia="zh-CN" w:bidi="hi-IN"/>
              </w:rPr>
            </w:pPr>
            <w:r>
              <w:rPr>
                <w:rFonts w:ascii="Times New Roman" w:hAnsi="Times New Roman"/>
                <w:sz w:val="24"/>
                <w:szCs w:val="24"/>
                <w:lang w:val="pt-BR" w:eastAsia="zh-CN" w:bidi="hi-IN"/>
              </w:rPr>
              <w:t>T1=22</w:t>
            </w:r>
          </w:p>
          <w:p>
            <w:pPr>
              <w:pStyle w:val="normal1"/>
              <w:widowControl w:val="false"/>
              <w:spacing w:lineRule="auto" w:line="240"/>
              <w:jc w:val="center"/>
              <w:rPr>
                <w:rFonts w:ascii="Times New Roman" w:hAnsi="Times New Roman"/>
                <w:sz w:val="24"/>
                <w:szCs w:val="24"/>
                <w:lang w:val="pt-BR" w:eastAsia="zh-CN" w:bidi="hi-IN"/>
              </w:rPr>
            </w:pPr>
            <w:r>
              <w:rPr>
                <w:rFonts w:ascii="Times New Roman" w:hAnsi="Times New Roman"/>
                <w:sz w:val="24"/>
                <w:szCs w:val="24"/>
                <w:lang w:val="pt-BR" w:eastAsia="zh-CN" w:bidi="hi-IN"/>
              </w:rPr>
              <w:t>T2=09</w:t>
            </w:r>
          </w:p>
        </w:tc>
      </w:tr>
    </w:tbl>
    <w:p>
      <w:pPr>
        <w:pStyle w:val="normal1"/>
        <w:spacing w:lineRule="auto" w:line="240"/>
        <w:jc w:val="both"/>
        <w:rPr>
          <w:b w:val="false"/>
          <w:bCs w:val="false"/>
        </w:rPr>
      </w:pPr>
      <w:r>
        <w:rPr>
          <w:rFonts w:ascii="Times New Roman" w:hAnsi="Times New Roman"/>
          <w:b w:val="false"/>
          <w:bCs w:val="false"/>
          <w:color w:val="auto"/>
          <w:sz w:val="20"/>
          <w:szCs w:val="20"/>
          <w:lang w:val="pt-BR" w:eastAsia="zh-CN" w:bidi="hi-IN"/>
        </w:rPr>
        <w:t>Fonte: o autor (2025)</w:t>
      </w:r>
    </w:p>
    <w:p>
      <w:pPr>
        <w:pStyle w:val="normal1"/>
        <w:spacing w:lineRule="auto" w:line="240" w:before="0" w:after="0"/>
        <w:ind w:firstLine="850" w:left="0"/>
        <w:jc w:val="both"/>
        <w:rPr>
          <w:rFonts w:ascii="Times New Roman" w:hAnsi="Times New Roman"/>
        </w:rPr>
      </w:pPr>
      <w:r>
        <w:rPr>
          <w:rFonts w:ascii="Times New Roman" w:hAnsi="Times New Roman"/>
        </w:rPr>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Dos materiais retornados na primeira e segunda buscas fez-se a leitura dos títulos, resumos e palavras-chaves, a fim de se efetuar a escolha dos materiais que apresentassem maior similaridade com os objetivos apresentados no escopo desta pesquisa. A partir daí, fez-se a leitura completa do artigo para se procurar organizar as informações para a instrumentalização desta pesquisa.</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Conforme informado, esta pesquisa possui um caráter descritivo, o que significa que o pesquisador “descreve as características de determinado fenômeno” (Gil, 2017, p.32), “restringindo-se à descrição dos fatos” (Chizzotti, 2018, p.37) na identificação de como ocorreu a estruturação e formalização dos processos de gestão e avaliação de documentos e na apresentação da construção da tabela de temporalidade.</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Dentre os referencias teóricos, a metodologia empregada para a proposição da adequação e atualização da TTDD do CBMSC, que trata do último objetivo específico desta pesquisa, foi a apresentada por Rodrigues e Mello (2014), considerando para este fim a metodologia de identificação arquivística, que segue dois procedimentos: o procedimento de identificação e o procedimento de classificação.</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000000"/>
          <w:sz w:val="24"/>
          <w:szCs w:val="24"/>
          <w:shd w:fill="auto" w:val="clear"/>
          <w:lang w:val="pt-BR" w:eastAsia="zh-CN" w:bidi="hi-IN"/>
        </w:rPr>
        <w:t>No procedimento de identificação, Rodrigues e Mello (2014) trazem a identificação do elemento orgânico com o levantamento de dados da área administrativa por meio de organogramas e regimentos; a identificação do elemento funcional com o levantamento de competências, funções, atividades e tarefas através de regimentos, estatuto, normas de serviço, e entrevistas.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000000"/>
          <w:sz w:val="24"/>
          <w:szCs w:val="24"/>
          <w:shd w:fill="auto" w:val="clear"/>
          <w:lang w:val="pt-BR" w:eastAsia="zh-CN" w:bidi="hi-IN"/>
        </w:rPr>
        <w:t>A identificação do elemento orgânico se dá a partir da produção dos documentos, a fim de se aplicar o princípio da proveniência, quando os autores observam que:</w:t>
      </w:r>
    </w:p>
    <w:p>
      <w:pPr>
        <w:pStyle w:val="normal1"/>
        <w:spacing w:lineRule="auto" w:line="240" w:before="0" w:after="0"/>
        <w:ind w:firstLine="850" w:left="0"/>
        <w:jc w:val="both"/>
        <w:rPr>
          <w:rFonts w:ascii="Times New Roman" w:hAnsi="Times New Roman"/>
          <w:highlight w:val="none"/>
          <w:shd w:fill="auto" w:val="clear"/>
        </w:rPr>
      </w:pPr>
      <w:r>
        <w:rPr>
          <w:rFonts w:ascii="Times New Roman" w:hAnsi="Times New Roman"/>
          <w:shd w:fill="auto" w:val="clear"/>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000000"/>
          <w:sz w:val="20"/>
          <w:szCs w:val="20"/>
          <w:shd w:fill="auto" w:val="clear"/>
          <w:lang w:val="pt-BR" w:eastAsia="zh-CN" w:bidi="hi-IN"/>
        </w:rPr>
        <w:t>A base metodológica que sustenta a identificação é a aplicação de maneira direta do princípio de proveniência, que consiste em não misturar os documentos gerados por diferentes órgãos produtores e, consequentemente, o da ordem original, que significa não romper a ordem natural de produção dos tipos documentais oriundos dos procedimentos administrativos que o determinaram (Rodrigues; Mello, 2014, p. 608).</w:t>
      </w:r>
    </w:p>
    <w:p>
      <w:pPr>
        <w:pStyle w:val="normal1"/>
        <w:spacing w:lineRule="auto" w:line="240" w:before="0" w:after="0"/>
        <w:ind w:firstLine="850" w:left="0"/>
        <w:jc w:val="both"/>
        <w:rPr>
          <w:rFonts w:ascii="Times New Roman" w:hAnsi="Times New Roman"/>
          <w:highlight w:val="none"/>
          <w:shd w:fill="auto" w:val="clear"/>
        </w:rPr>
      </w:pPr>
      <w:r>
        <w:rPr>
          <w:rFonts w:ascii="Times New Roman" w:hAnsi="Times New Roman"/>
          <w:shd w:fill="auto" w:val="clear"/>
        </w:rPr>
      </w:r>
    </w:p>
    <w:p>
      <w:pPr>
        <w:pStyle w:val="normal1"/>
        <w:spacing w:lineRule="auto" w:line="240" w:before="0" w:after="0"/>
        <w:ind w:firstLine="850" w:left="0"/>
        <w:jc w:val="both"/>
        <w:rPr>
          <w:rFonts w:ascii="Times New Roman" w:hAnsi="Times New Roman"/>
        </w:rPr>
      </w:pPr>
      <w:r>
        <w:rPr>
          <w:rFonts w:ascii="Times New Roman" w:hAnsi="Times New Roman"/>
          <w:color w:val="000000"/>
          <w:sz w:val="24"/>
          <w:szCs w:val="24"/>
          <w:shd w:fill="auto" w:val="clear"/>
          <w:lang w:val="pt-BR" w:eastAsia="zh-CN" w:bidi="hi-IN"/>
        </w:rPr>
        <w:t>Na sequência, segue a identificação da tipologia documental por meio de um formulário de tipos documentais, com o objetivo de identificar o tipo documental.</w:t>
      </w:r>
    </w:p>
    <w:p>
      <w:pPr>
        <w:pStyle w:val="normal1"/>
        <w:spacing w:lineRule="auto" w:line="240" w:before="0" w:after="0"/>
        <w:ind w:firstLine="850" w:left="0"/>
        <w:jc w:val="both"/>
        <w:rPr>
          <w:rFonts w:ascii="Times New Roman" w:hAnsi="Times New Roman"/>
        </w:rPr>
      </w:pPr>
      <w:r>
        <w:rPr>
          <w:rFonts w:ascii="Times New Roman" w:hAnsi="Times New Roman"/>
          <w:color w:val="000000"/>
          <w:sz w:val="24"/>
          <w:szCs w:val="24"/>
          <w:shd w:fill="auto" w:val="clear"/>
          <w:lang w:val="pt-BR" w:eastAsia="zh-CN" w:bidi="hi-IN"/>
        </w:rPr>
        <w:t>No procedimento de classificação, após a análise dos dados, tem-se a construção do plano de classificação.</w:t>
      </w:r>
    </w:p>
    <w:p>
      <w:pPr>
        <w:pStyle w:val="normal1"/>
        <w:spacing w:lineRule="auto" w:line="240" w:before="0" w:after="0"/>
        <w:ind w:firstLine="850" w:left="0"/>
        <w:jc w:val="both"/>
        <w:rPr>
          <w:rFonts w:ascii="Times New Roman" w:hAnsi="Times New Roman"/>
        </w:rPr>
      </w:pPr>
      <w:r>
        <w:rPr>
          <w:rFonts w:ascii="Times New Roman" w:hAnsi="Times New Roman"/>
          <w:color w:val="auto"/>
          <w:sz w:val="24"/>
          <w:szCs w:val="24"/>
          <w:lang w:val="pt-BR" w:eastAsia="zh-CN" w:bidi="hi-IN"/>
        </w:rPr>
        <w:t>Além dessa, utilizou-se da metodologia proposta por Bernardes (1998) na sequência de passos que norteiam o processo de avaliação de documentos, aos quais sejam:</w:t>
      </w:r>
    </w:p>
    <w:p>
      <w:pPr>
        <w:pStyle w:val="normal1"/>
        <w:spacing w:lineRule="auto" w:line="240" w:before="0" w:after="0"/>
        <w:ind w:firstLine="850" w:left="0"/>
        <w:jc w:val="both"/>
        <w:rPr>
          <w:rFonts w:ascii="Times New Roman" w:hAnsi="Times New Roman"/>
          <w:color w:val="auto"/>
          <w:sz w:val="24"/>
          <w:szCs w:val="24"/>
          <w:lang w:val="pt-BR" w:eastAsia="zh-CN" w:bidi="hi-IN"/>
        </w:rPr>
      </w:pPr>
      <w:r>
        <w:rPr>
          <w:rFonts w:ascii="Times New Roman" w:hAnsi="Times New Roman"/>
          <w:color w:val="auto"/>
          <w:sz w:val="24"/>
          <w:szCs w:val="24"/>
          <w:lang w:val="pt-BR" w:eastAsia="zh-CN" w:bidi="hi-IN"/>
        </w:rPr>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1) Constituição formal da Comissão de Avaliação de Documentos, que garanta legitimidade e autoridade à equipe responsável;</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2) Elaboração de textos legais ou normativos que definam normas e procedimentos para o trabalho de avaliação;</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3) Estudo da estrutura administrativa do órgão e análise das competências, funções e atividades de cada uma de suas unidades;</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4) Levantamento da produção documental: entrevistas com funcionários, responsáveis e encarregados, até o nível de seção, para identificar as séries documentais geradas no exercício de suas competências e atividades;</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5) Análise do fluxo documental: origem, pontos de tramitação e encerramento do trâmite;</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6) Identificação dos valores dos documentos de acordo com sua idade: administrativo, legal, fiscal, técnico, histórico;</w:t>
      </w:r>
    </w:p>
    <w:p>
      <w:pPr>
        <w:pStyle w:val="normal1"/>
        <w:widowControl/>
        <w:suppressAutoHyphens w:val="true"/>
        <w:bidi w:val="0"/>
        <w:spacing w:lineRule="auto" w:line="240" w:before="0" w:after="0"/>
        <w:ind w:hanging="0" w:left="2551" w:right="0"/>
        <w:jc w:val="both"/>
        <w:rPr>
          <w:rFonts w:ascii="Times New Roman" w:hAnsi="Times New Roman"/>
        </w:rPr>
      </w:pPr>
      <w:r>
        <w:rPr>
          <w:rFonts w:ascii="Times New Roman" w:hAnsi="Times New Roman"/>
          <w:color w:val="auto"/>
          <w:sz w:val="20"/>
          <w:szCs w:val="20"/>
          <w:lang w:val="pt-BR" w:eastAsia="zh-CN" w:bidi="hi-IN"/>
        </w:rPr>
        <w:t>7) Definição dos prazos de guarda em cada local de arquivamento. (Bernardes, 1998, p.17)</w:t>
      </w:r>
    </w:p>
    <w:p>
      <w:pPr>
        <w:pStyle w:val="normal1"/>
        <w:spacing w:lineRule="auto" w:line="240" w:before="0" w:after="0"/>
        <w:ind w:firstLine="850" w:left="0"/>
        <w:jc w:val="both"/>
        <w:rPr>
          <w:rFonts w:ascii="Times New Roman" w:hAnsi="Times New Roman"/>
          <w:color w:val="auto"/>
          <w:sz w:val="24"/>
          <w:szCs w:val="24"/>
          <w:lang w:val="pt-BR" w:eastAsia="zh-CN" w:bidi="hi-IN"/>
        </w:rPr>
      </w:pPr>
      <w:r>
        <w:rPr>
          <w:rFonts w:ascii="Times New Roman" w:hAnsi="Times New Roman"/>
          <w:color w:val="auto"/>
          <w:sz w:val="24"/>
          <w:szCs w:val="24"/>
          <w:lang w:val="pt-BR" w:eastAsia="zh-CN" w:bidi="hi-IN"/>
        </w:rPr>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Com estes passos previamente elaborados, foram utilizadas e seguidas as leis, normativas e formulários atuais apresentados pelos órgãos responsáveis pelas diretrizes de Gestão Documental do Estado, integrando um caminho para a gestão dos documentos do órgão para fins de sua correta destinação.</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Por conseguinte, levantou-se por meio de pesquisa documental, a legislação e normativas regulamentares que antecederam a criação dos processos de gestão dos arquivos do CBMSC, assim como os documentos que tratam de sua estruturação e história, uma vez que a pesquisa documental é de “consulta interna à organização” (Gil, 2017, p. 33)</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Além dessas informações reunidas para se atingir o objetivo específico “c” desta pesquisa, optou-se também tomar por base a Instrução Normativa nº 4/2025, que orienta sobre os procedimentos relativos à elaboração, aplicação e atualização do Plano de Classificação de Documentos e da Tabela de Temporalidade de Documentos do Estado de Santa Catarina, e a Instrução Normativa nº 7/2025, que trata da avaliação, organização e classificação dos documentos público, uma vez que que estas normas encontram-se vigentes.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Como se trata de uma proposta de atualização da TTDD, tomou-se por base conjuntamente o atual PCD e TTDD do órgão, com o fim de imprimir-lhe as modificações a serem acordadas, tomando-se por base duas atividades da subfunção. “segurança contra incêndio”.</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O quadro a seguir apresenta uma descrição esquemática dos objetivos, passos e respectivos métodos empregados.</w:t>
      </w:r>
    </w:p>
    <w:p>
      <w:pPr>
        <w:pStyle w:val="normal1"/>
        <w:spacing w:lineRule="auto" w:line="240" w:before="0" w:after="0"/>
        <w:ind w:firstLine="850" w:left="0"/>
        <w:jc w:val="both"/>
        <w:rPr>
          <w:rFonts w:ascii="Times New Roman" w:hAnsi="Times New Roman"/>
          <w:lang w:val="pt-BR"/>
        </w:rPr>
      </w:pPr>
      <w:r>
        <w:rPr>
          <w:rFonts w:ascii="Times New Roman" w:hAnsi="Times New Roman"/>
          <w:lang w:val="pt-BR"/>
        </w:rPr>
      </w:r>
    </w:p>
    <w:p>
      <w:pPr>
        <w:pStyle w:val="normal1"/>
        <w:widowControl/>
        <w:suppressAutoHyphens w:val="true"/>
        <w:bidi w:val="0"/>
        <w:spacing w:lineRule="auto" w:line="240" w:before="0" w:after="0"/>
        <w:ind w:hanging="0" w:left="0" w:right="0"/>
        <w:jc w:val="center"/>
        <w:rPr>
          <w:rFonts w:ascii="Times New Roman" w:hAnsi="Times New Roman"/>
        </w:rPr>
      </w:pPr>
      <w:r>
        <w:rPr>
          <w:rFonts w:ascii="Times New Roman" w:hAnsi="Times New Roman"/>
          <w:b/>
          <w:bCs/>
          <w:sz w:val="24"/>
          <w:szCs w:val="24"/>
          <w:lang w:val="pt-BR" w:eastAsia="zh-CN" w:bidi="hi-IN"/>
        </w:rPr>
        <w:t>Quadro 3</w:t>
      </w:r>
      <w:r>
        <w:rPr>
          <w:rFonts w:ascii="Times New Roman" w:hAnsi="Times New Roman"/>
          <w:sz w:val="24"/>
          <w:szCs w:val="24"/>
          <w:lang w:val="pt-BR" w:eastAsia="zh-CN" w:bidi="hi-IN"/>
        </w:rPr>
        <w:t xml:space="preserve"> – Objetivos e métodos</w:t>
      </w:r>
    </w:p>
    <w:tbl>
      <w:tblPr>
        <w:tblW w:w="9075" w:type="dxa"/>
        <w:jc w:val="left"/>
        <w:tblInd w:w="55" w:type="dxa"/>
        <w:tblLayout w:type="fixed"/>
        <w:tblCellMar>
          <w:top w:w="55" w:type="dxa"/>
          <w:left w:w="55" w:type="dxa"/>
          <w:bottom w:w="55" w:type="dxa"/>
          <w:right w:w="55" w:type="dxa"/>
        </w:tblCellMar>
      </w:tblPr>
      <w:tblGrid>
        <w:gridCol w:w="2835"/>
        <w:gridCol w:w="4590"/>
        <w:gridCol w:w="1650"/>
      </w:tblGrid>
      <w:tr>
        <w:trPr/>
        <w:tc>
          <w:tcPr>
            <w:tcW w:w="2835" w:type="dxa"/>
            <w:tcBorders>
              <w:top w:val="single" w:sz="4" w:space="0" w:color="000000"/>
              <w:left w:val="single" w:sz="4" w:space="0" w:color="000000"/>
              <w:bottom w:val="single" w:sz="4" w:space="0" w:color="000000"/>
            </w:tcBorders>
            <w:shd w:fill="EEEEEE" w:val="clear"/>
          </w:tcPr>
          <w:p>
            <w:pPr>
              <w:pStyle w:val="Contedodatabela"/>
              <w:spacing w:lineRule="auto" w:line="240"/>
              <w:rPr>
                <w:sz w:val="24"/>
                <w:szCs w:val="24"/>
              </w:rPr>
            </w:pPr>
            <w:r>
              <w:rPr>
                <w:b/>
                <w:bCs/>
                <w:sz w:val="24"/>
                <w:szCs w:val="24"/>
                <w:lang w:val="pt-BR" w:eastAsia="zh-CN" w:bidi="hi-IN"/>
              </w:rPr>
              <w:t>Objetivo</w:t>
            </w:r>
          </w:p>
        </w:tc>
        <w:tc>
          <w:tcPr>
            <w:tcW w:w="4590" w:type="dxa"/>
            <w:tcBorders>
              <w:top w:val="single" w:sz="4" w:space="0" w:color="000000"/>
              <w:left w:val="single" w:sz="4" w:space="0" w:color="000000"/>
              <w:bottom w:val="single" w:sz="4" w:space="0" w:color="000000"/>
            </w:tcBorders>
            <w:shd w:fill="EEEEEE" w:val="clear"/>
          </w:tcPr>
          <w:p>
            <w:pPr>
              <w:pStyle w:val="Contedodatabela"/>
              <w:spacing w:lineRule="auto" w:line="240"/>
              <w:rPr>
                <w:sz w:val="24"/>
                <w:szCs w:val="24"/>
              </w:rPr>
            </w:pPr>
            <w:r>
              <w:rPr>
                <w:b/>
                <w:bCs/>
                <w:sz w:val="24"/>
                <w:szCs w:val="24"/>
                <w:lang w:val="pt-BR" w:eastAsia="zh-CN" w:bidi="hi-IN"/>
              </w:rPr>
              <w:t>Passos</w:t>
            </w:r>
          </w:p>
        </w:tc>
        <w:tc>
          <w:tcPr>
            <w:tcW w:w="1650" w:type="dxa"/>
            <w:tcBorders>
              <w:top w:val="single" w:sz="4" w:space="0" w:color="000000"/>
              <w:left w:val="single" w:sz="4" w:space="0" w:color="000000"/>
              <w:bottom w:val="single" w:sz="4" w:space="0" w:color="000000"/>
              <w:right w:val="single" w:sz="4" w:space="0" w:color="000000"/>
            </w:tcBorders>
            <w:shd w:fill="EEEEEE" w:val="clear"/>
          </w:tcPr>
          <w:p>
            <w:pPr>
              <w:pStyle w:val="Contedodatabela"/>
              <w:spacing w:lineRule="auto" w:line="240"/>
              <w:rPr>
                <w:sz w:val="24"/>
                <w:szCs w:val="24"/>
              </w:rPr>
            </w:pPr>
            <w:r>
              <w:rPr>
                <w:b/>
                <w:bCs/>
                <w:sz w:val="24"/>
                <w:szCs w:val="24"/>
                <w:lang w:val="pt-BR"/>
              </w:rPr>
              <w:t>Método</w:t>
            </w:r>
          </w:p>
        </w:tc>
      </w:tr>
      <w:tr>
        <w:trPr/>
        <w:tc>
          <w:tcPr>
            <w:tcW w:w="2835"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 xml:space="preserve">a) </w:t>
            </w:r>
            <w:r>
              <w:rPr>
                <w:rFonts w:eastAsia="Times New Roman" w:cs="Times New Roman"/>
                <w:sz w:val="24"/>
                <w:szCs w:val="24"/>
                <w:lang w:val="pt-BR" w:eastAsia="zh-CN" w:bidi="hi-IN"/>
              </w:rPr>
              <w:t>identificar na literatura, diretrizes legais e normativas vigentes no Estado, aquelas que dizem respeito à elaboração e revisão da tabela de temporalidade e destinação de documentos</w:t>
            </w:r>
            <w:r>
              <w:rPr>
                <w:rFonts w:eastAsia="Times New Roman" w:cs="Times New Roman"/>
                <w:sz w:val="24"/>
                <w:szCs w:val="24"/>
                <w:shd w:fill="auto" w:val="clear"/>
                <w:lang w:val="pt-BR" w:eastAsia="zh-CN" w:bidi="hi-IN"/>
              </w:rPr>
              <w:t>;</w:t>
            </w:r>
          </w:p>
        </w:tc>
        <w:tc>
          <w:tcPr>
            <w:tcW w:w="4590"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 levantamento da legislação e normativas vigente antes de 2010 e as atuais acerca da elaboração e revisão da TTD;</w:t>
            </w:r>
          </w:p>
          <w:p>
            <w:pPr>
              <w:pStyle w:val="Contedodatabela"/>
              <w:spacing w:lineRule="auto" w:line="240"/>
              <w:rPr>
                <w:sz w:val="24"/>
                <w:szCs w:val="24"/>
              </w:rPr>
            </w:pPr>
            <w:r>
              <w:rPr>
                <w:sz w:val="24"/>
                <w:szCs w:val="24"/>
                <w:lang w:val="pt-BR" w:eastAsia="zh-CN" w:bidi="hi-IN"/>
              </w:rPr>
              <w:t>- recuperação e análise da TTDD construída;</w:t>
            </w:r>
          </w:p>
          <w:p>
            <w:pPr>
              <w:pStyle w:val="Contedodatabela"/>
              <w:spacing w:lineRule="auto" w:line="240"/>
              <w:rPr>
                <w:sz w:val="24"/>
                <w:szCs w:val="24"/>
              </w:rPr>
            </w:pPr>
            <w:r>
              <w:rPr>
                <w:sz w:val="24"/>
                <w:szCs w:val="24"/>
                <w:lang w:val="pt-BR" w:eastAsia="zh-CN" w:bidi="hi-IN"/>
              </w:rPr>
              <w:t>- identificação da CPAD.</w:t>
            </w:r>
          </w:p>
        </w:tc>
        <w:tc>
          <w:tcPr>
            <w:tcW w:w="1650" w:type="dxa"/>
            <w:tcBorders>
              <w:left w:val="single" w:sz="4" w:space="0" w:color="000000"/>
              <w:bottom w:val="single" w:sz="4" w:space="0" w:color="000000"/>
              <w:right w:val="single" w:sz="4" w:space="0" w:color="000000"/>
            </w:tcBorders>
          </w:tcPr>
          <w:p>
            <w:pPr>
              <w:pStyle w:val="Contedodatabela"/>
              <w:spacing w:lineRule="auto" w:line="240"/>
              <w:rPr>
                <w:sz w:val="24"/>
                <w:szCs w:val="24"/>
              </w:rPr>
            </w:pPr>
            <w:r>
              <w:rPr>
                <w:sz w:val="24"/>
                <w:szCs w:val="24"/>
                <w:lang w:val="pt-BR"/>
              </w:rPr>
              <w:t>Exploratório;</w:t>
            </w:r>
          </w:p>
          <w:p>
            <w:pPr>
              <w:pStyle w:val="Contedodatabela"/>
              <w:spacing w:lineRule="auto" w:line="240"/>
              <w:rPr>
                <w:sz w:val="24"/>
                <w:szCs w:val="24"/>
              </w:rPr>
            </w:pPr>
            <w:r>
              <w:rPr>
                <w:sz w:val="24"/>
                <w:szCs w:val="24"/>
                <w:lang w:val="pt-BR"/>
              </w:rPr>
              <w:t>Descritivo;</w:t>
            </w:r>
          </w:p>
          <w:p>
            <w:pPr>
              <w:pStyle w:val="Contedodatabela"/>
              <w:spacing w:lineRule="auto" w:line="240"/>
              <w:rPr>
                <w:sz w:val="24"/>
                <w:szCs w:val="24"/>
              </w:rPr>
            </w:pPr>
            <w:r>
              <w:rPr>
                <w:sz w:val="24"/>
                <w:szCs w:val="24"/>
                <w:lang w:val="pt-BR"/>
              </w:rPr>
              <w:t>Documental;</w:t>
            </w:r>
          </w:p>
          <w:p>
            <w:pPr>
              <w:pStyle w:val="Contedodatabela"/>
              <w:spacing w:lineRule="auto" w:line="240"/>
              <w:rPr>
                <w:sz w:val="24"/>
                <w:szCs w:val="24"/>
              </w:rPr>
            </w:pPr>
            <w:r>
              <w:rPr>
                <w:sz w:val="24"/>
                <w:szCs w:val="24"/>
                <w:lang w:val="pt-BR"/>
              </w:rPr>
              <w:t>Bibliográfico;</w:t>
            </w:r>
          </w:p>
          <w:p>
            <w:pPr>
              <w:pStyle w:val="Contedodatabela"/>
              <w:spacing w:lineRule="auto" w:line="240"/>
              <w:rPr>
                <w:sz w:val="24"/>
                <w:szCs w:val="24"/>
              </w:rPr>
            </w:pPr>
            <w:r>
              <w:rPr>
                <w:sz w:val="24"/>
                <w:szCs w:val="24"/>
                <w:lang w:val="pt-BR"/>
              </w:rPr>
              <w:t>Estudo de caso.</w:t>
            </w:r>
          </w:p>
        </w:tc>
      </w:tr>
      <w:tr>
        <w:trPr/>
        <w:tc>
          <w:tcPr>
            <w:tcW w:w="2835"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b) Descrever o processo de formalização da tabela de temporalidade e destinação de documentos do CBMSC;</w:t>
            </w:r>
          </w:p>
        </w:tc>
        <w:tc>
          <w:tcPr>
            <w:tcW w:w="4590"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 levantamento histórico da gestão documental do Poder Executivo em Santa Catarina antes de 2010;</w:t>
            </w:r>
          </w:p>
          <w:p>
            <w:pPr>
              <w:pStyle w:val="Contedodatabela"/>
              <w:spacing w:lineRule="auto" w:line="240"/>
              <w:rPr>
                <w:sz w:val="24"/>
                <w:szCs w:val="24"/>
              </w:rPr>
            </w:pPr>
            <w:r>
              <w:rPr>
                <w:sz w:val="24"/>
                <w:szCs w:val="24"/>
                <w:lang w:val="pt-BR" w:eastAsia="zh-CN" w:bidi="hi-IN"/>
              </w:rPr>
              <w:t>- identificação dos órgãos de gestão documental competente.</w:t>
            </w:r>
          </w:p>
        </w:tc>
        <w:tc>
          <w:tcPr>
            <w:tcW w:w="1650" w:type="dxa"/>
            <w:tcBorders>
              <w:left w:val="single" w:sz="4" w:space="0" w:color="000000"/>
              <w:bottom w:val="single" w:sz="4" w:space="0" w:color="000000"/>
              <w:right w:val="single" w:sz="4" w:space="0" w:color="000000"/>
            </w:tcBorders>
          </w:tcPr>
          <w:p>
            <w:pPr>
              <w:pStyle w:val="Contedodatabela"/>
              <w:spacing w:lineRule="auto" w:line="240"/>
              <w:rPr>
                <w:sz w:val="24"/>
                <w:szCs w:val="24"/>
              </w:rPr>
            </w:pPr>
            <w:r>
              <w:rPr>
                <w:sz w:val="24"/>
                <w:szCs w:val="24"/>
                <w:lang w:val="pt-BR"/>
              </w:rPr>
              <w:t>Exploratório;</w:t>
            </w:r>
          </w:p>
          <w:p>
            <w:pPr>
              <w:pStyle w:val="Contedodatabela"/>
              <w:spacing w:lineRule="auto" w:line="240"/>
              <w:rPr>
                <w:sz w:val="24"/>
                <w:szCs w:val="24"/>
              </w:rPr>
            </w:pPr>
            <w:r>
              <w:rPr>
                <w:sz w:val="24"/>
                <w:szCs w:val="24"/>
                <w:lang w:val="pt-BR"/>
              </w:rPr>
              <w:t>Descritivo;</w:t>
            </w:r>
          </w:p>
          <w:p>
            <w:pPr>
              <w:pStyle w:val="Contedodatabela"/>
              <w:spacing w:lineRule="auto" w:line="240"/>
              <w:rPr>
                <w:sz w:val="24"/>
                <w:szCs w:val="24"/>
              </w:rPr>
            </w:pPr>
            <w:r>
              <w:rPr>
                <w:sz w:val="24"/>
                <w:szCs w:val="24"/>
                <w:lang w:val="pt-BR"/>
              </w:rPr>
              <w:t>Documental;</w:t>
            </w:r>
          </w:p>
          <w:p>
            <w:pPr>
              <w:pStyle w:val="Contedodatabela"/>
              <w:spacing w:lineRule="auto" w:line="240"/>
              <w:rPr>
                <w:sz w:val="24"/>
                <w:szCs w:val="24"/>
              </w:rPr>
            </w:pPr>
            <w:r>
              <w:rPr>
                <w:sz w:val="24"/>
                <w:szCs w:val="24"/>
                <w:lang w:val="pt-BR"/>
              </w:rPr>
              <w:t>Estudo de caso.</w:t>
            </w:r>
          </w:p>
        </w:tc>
      </w:tr>
      <w:tr>
        <w:trPr/>
        <w:tc>
          <w:tcPr>
            <w:tcW w:w="2835"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 xml:space="preserve">c) Propor a adequação e atualização da tabela de temporalidade e destinação de documentos do CBMSC, a partir de duas atividades </w:t>
            </w:r>
            <w:r>
              <w:rPr>
                <w:rFonts w:eastAsia="Times New Roman" w:cs="Times New Roman"/>
                <w:sz w:val="24"/>
                <w:szCs w:val="24"/>
                <w:shd w:fill="auto" w:val="clear"/>
                <w:lang w:val="pt-BR" w:eastAsia="zh-CN" w:bidi="hi-IN"/>
              </w:rPr>
              <w:t>da subfunção segurança contra incêndio: 1 – Normatizar e Promover Ações e Medidas de Segurança Contra Incêndios e Pânico; e, 2 – Perícia de Incêndio.</w:t>
            </w:r>
          </w:p>
        </w:tc>
        <w:tc>
          <w:tcPr>
            <w:tcW w:w="4590" w:type="dxa"/>
            <w:tcBorders>
              <w:left w:val="single" w:sz="4" w:space="0" w:color="000000"/>
              <w:bottom w:val="single" w:sz="4" w:space="0" w:color="000000"/>
            </w:tcBorders>
          </w:tcPr>
          <w:p>
            <w:pPr>
              <w:pStyle w:val="Contedodatabela"/>
              <w:spacing w:lineRule="auto" w:line="240"/>
              <w:rPr>
                <w:sz w:val="24"/>
                <w:szCs w:val="24"/>
              </w:rPr>
            </w:pPr>
            <w:r>
              <w:rPr>
                <w:sz w:val="24"/>
                <w:szCs w:val="24"/>
                <w:lang w:val="pt-BR" w:eastAsia="zh-CN" w:bidi="hi-IN"/>
              </w:rPr>
              <w:t>- identificação arquivística;</w:t>
            </w:r>
          </w:p>
          <w:p>
            <w:pPr>
              <w:pStyle w:val="Contedodatabela"/>
              <w:spacing w:lineRule="auto" w:line="240"/>
              <w:rPr>
                <w:sz w:val="24"/>
                <w:szCs w:val="24"/>
              </w:rPr>
            </w:pPr>
            <w:r>
              <w:rPr>
                <w:sz w:val="24"/>
                <w:szCs w:val="24"/>
                <w:lang w:val="pt-BR" w:eastAsia="zh-CN" w:bidi="hi-IN"/>
              </w:rPr>
              <w:t xml:space="preserve"> </w:t>
            </w:r>
            <w:r>
              <w:rPr>
                <w:sz w:val="24"/>
                <w:szCs w:val="24"/>
                <w:lang w:val="pt-BR" w:eastAsia="zh-CN" w:bidi="hi-IN"/>
              </w:rPr>
              <w:t>(Rodrigues e Mello, 2014)</w:t>
            </w:r>
          </w:p>
          <w:p>
            <w:pPr>
              <w:pStyle w:val="Contedodatabela"/>
              <w:spacing w:lineRule="auto" w:line="240"/>
              <w:rPr>
                <w:sz w:val="24"/>
                <w:szCs w:val="24"/>
              </w:rPr>
            </w:pPr>
            <w:r>
              <w:rPr>
                <w:sz w:val="24"/>
                <w:szCs w:val="24"/>
                <w:lang w:val="pt-BR" w:eastAsia="zh-CN" w:bidi="hi-IN"/>
              </w:rPr>
              <w:t>- levantamento de passos para a elaboração de TTDD indicados por autores da área; (Bernardes, 1998;</w:t>
            </w:r>
          </w:p>
          <w:p>
            <w:pPr>
              <w:pStyle w:val="Contedodatabela"/>
              <w:spacing w:lineRule="auto" w:line="240"/>
              <w:rPr>
                <w:sz w:val="24"/>
                <w:szCs w:val="24"/>
              </w:rPr>
            </w:pPr>
            <w:r>
              <w:rPr>
                <w:sz w:val="24"/>
                <w:szCs w:val="24"/>
                <w:lang w:val="pt-BR" w:eastAsia="zh-CN" w:bidi="hi-IN"/>
              </w:rPr>
              <w:t>- levantamento de passos elaborados pela GEDOC;</w:t>
            </w:r>
          </w:p>
          <w:p>
            <w:pPr>
              <w:pStyle w:val="Contedodatabela"/>
              <w:spacing w:lineRule="auto" w:line="240"/>
              <w:rPr>
                <w:sz w:val="24"/>
                <w:szCs w:val="24"/>
              </w:rPr>
            </w:pPr>
            <w:r>
              <w:rPr>
                <w:sz w:val="24"/>
                <w:szCs w:val="24"/>
                <w:lang w:val="pt-BR" w:eastAsia="zh-CN" w:bidi="hi-IN"/>
              </w:rPr>
              <w:t>- construção dos passos para a elaboração da TTDD para o CBMSC a partir das fontes levantadas, conforme Quadro 4.</w:t>
            </w:r>
          </w:p>
        </w:tc>
        <w:tc>
          <w:tcPr>
            <w:tcW w:w="1650" w:type="dxa"/>
            <w:tcBorders>
              <w:left w:val="single" w:sz="4" w:space="0" w:color="000000"/>
              <w:bottom w:val="single" w:sz="4" w:space="0" w:color="000000"/>
              <w:right w:val="single" w:sz="4" w:space="0" w:color="000000"/>
            </w:tcBorders>
          </w:tcPr>
          <w:p>
            <w:pPr>
              <w:pStyle w:val="Contedodatabela"/>
              <w:spacing w:lineRule="auto" w:line="240"/>
              <w:rPr>
                <w:sz w:val="24"/>
                <w:szCs w:val="24"/>
              </w:rPr>
            </w:pPr>
            <w:r>
              <w:rPr>
                <w:sz w:val="24"/>
                <w:szCs w:val="24"/>
                <w:lang w:val="pt-BR"/>
              </w:rPr>
              <w:t>Exploratório;</w:t>
            </w:r>
          </w:p>
          <w:p>
            <w:pPr>
              <w:pStyle w:val="Contedodatabela"/>
              <w:spacing w:lineRule="auto" w:line="240"/>
              <w:rPr>
                <w:sz w:val="24"/>
                <w:szCs w:val="24"/>
              </w:rPr>
            </w:pPr>
            <w:r>
              <w:rPr>
                <w:sz w:val="24"/>
                <w:szCs w:val="24"/>
                <w:lang w:val="pt-BR"/>
              </w:rPr>
              <w:t>Descritivo;</w:t>
            </w:r>
          </w:p>
          <w:p>
            <w:pPr>
              <w:pStyle w:val="Contedodatabela"/>
              <w:spacing w:lineRule="auto" w:line="240"/>
              <w:rPr>
                <w:sz w:val="24"/>
                <w:szCs w:val="24"/>
              </w:rPr>
            </w:pPr>
            <w:r>
              <w:rPr>
                <w:sz w:val="24"/>
                <w:szCs w:val="24"/>
                <w:lang w:val="pt-BR"/>
              </w:rPr>
              <w:t>Documental;</w:t>
            </w:r>
          </w:p>
          <w:p>
            <w:pPr>
              <w:pStyle w:val="Contedodatabela"/>
              <w:spacing w:lineRule="auto" w:line="240"/>
              <w:rPr>
                <w:sz w:val="24"/>
                <w:szCs w:val="24"/>
              </w:rPr>
            </w:pPr>
            <w:r>
              <w:rPr>
                <w:sz w:val="24"/>
                <w:szCs w:val="24"/>
                <w:lang w:val="pt-BR"/>
              </w:rPr>
              <w:t>Bibliográfico;</w:t>
            </w:r>
          </w:p>
        </w:tc>
      </w:tr>
    </w:tbl>
    <w:p>
      <w:pPr>
        <w:pStyle w:val="normal1"/>
        <w:widowControl/>
        <w:suppressAutoHyphens w:val="true"/>
        <w:bidi w:val="0"/>
        <w:spacing w:lineRule="auto" w:line="240" w:before="0" w:after="0"/>
        <w:ind w:hanging="0" w:left="0" w:right="0"/>
        <w:jc w:val="both"/>
        <w:rPr>
          <w:b w:val="false"/>
          <w:bCs w:val="false"/>
        </w:rPr>
      </w:pPr>
      <w:r>
        <w:rPr>
          <w:rFonts w:eastAsia="Times New Roman" w:cs="Times New Roman" w:ascii="Times New Roman" w:hAnsi="Times New Roman"/>
          <w:b w:val="false"/>
          <w:bCs w:val="false"/>
          <w:color w:val="auto"/>
          <w:sz w:val="20"/>
          <w:szCs w:val="20"/>
          <w:lang w:val="pt-BR" w:eastAsia="zh-CN" w:bidi="hi-IN"/>
        </w:rPr>
        <w:t>Fonte – Elaborado pelo autor (2025)</w:t>
      </w:r>
    </w:p>
    <w:p>
      <w:pPr>
        <w:pStyle w:val="normal1"/>
        <w:spacing w:lineRule="auto" w:line="240" w:before="0" w:after="0"/>
        <w:ind w:firstLine="850" w:left="0"/>
        <w:jc w:val="both"/>
        <w:rPr>
          <w:rFonts w:ascii="Times New Roman" w:hAnsi="Times New Roman"/>
          <w:lang w:val="pt-BR"/>
        </w:rPr>
      </w:pPr>
      <w:r>
        <w:rPr>
          <w:rFonts w:ascii="Times New Roman" w:hAnsi="Times New Roman"/>
          <w:lang w:val="pt-BR"/>
        </w:rPr>
      </w:r>
    </w:p>
    <w:p>
      <w:pPr>
        <w:pStyle w:val="normal1"/>
        <w:spacing w:lineRule="auto" w:line="240" w:before="0" w:after="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before="0" w:after="0"/>
        <w:ind w:hanging="0" w:left="0"/>
        <w:jc w:val="both"/>
        <w:rPr>
          <w:rFonts w:ascii="Times New Roman" w:hAnsi="Times New Roman"/>
        </w:rPr>
      </w:pPr>
      <w:r>
        <w:rPr>
          <w:rFonts w:eastAsia="Times New Roman" w:cs="Times New Roman" w:ascii="Times New Roman" w:hAnsi="Times New Roman"/>
          <w:b/>
          <w:color w:val="auto"/>
          <w:sz w:val="24"/>
          <w:szCs w:val="24"/>
          <w:lang w:val="pt-BR" w:eastAsia="zh-CN" w:bidi="hi-IN"/>
        </w:rPr>
        <w:t>4 RESULTADOS E DISCUSSÃO</w:t>
      </w:r>
    </w:p>
    <w:p>
      <w:pPr>
        <w:pStyle w:val="normal1"/>
        <w:spacing w:lineRule="auto" w:line="240" w:before="0" w:after="0"/>
        <w:ind w:hanging="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Com a integralização dos métodos empregados para a operacionalização desta pesquisa, esta seção visa apresentar os resultados alcançados quanto aos objetivos geral e específicos, estando subdividido em subseções.</w:t>
      </w:r>
    </w:p>
    <w:p>
      <w:pPr>
        <w:pStyle w:val="normal1"/>
        <w:spacing w:lineRule="auto" w:line="240" w:before="0" w:after="0"/>
        <w:ind w:hanging="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before="0" w:after="0"/>
        <w:ind w:hanging="0" w:left="0"/>
        <w:jc w:val="both"/>
        <w:rPr>
          <w:rFonts w:ascii="Times New Roman" w:hAnsi="Times New Roman"/>
        </w:rPr>
      </w:pPr>
      <w:r>
        <w:rPr>
          <w:rFonts w:eastAsia="Times New Roman" w:cs="Times New Roman" w:ascii="Times New Roman" w:hAnsi="Times New Roman"/>
          <w:b w:val="false"/>
          <w:bCs w:val="false"/>
          <w:color w:val="auto"/>
          <w:sz w:val="24"/>
          <w:szCs w:val="24"/>
          <w:lang w:val="pt-BR" w:eastAsia="zh-CN" w:bidi="hi-IN"/>
        </w:rPr>
        <w:t>4.1 A AVALIAÇÃO DE DOCUMENTOS E TABELA DE TEMPORALIDADE NO CBMSC</w:t>
      </w:r>
    </w:p>
    <w:p>
      <w:pPr>
        <w:pStyle w:val="normal1"/>
        <w:spacing w:lineRule="auto" w:line="240" w:before="0" w:after="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No que diz respeito ao processo de avaliação de documentos dos Órgãos do Poder Executivo do Estado de Santa Catarina, as CPAD possuem a atribuição de “orientar as unidades administrativas do órgão quanto à análise, avaliação e seleção dos documentos produzidos e acumulados no âmbito de atuação do órgão, visando garantir o cumprimentos da legislação vigente” (IN nº 8/2024).</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Neste ano de 2025, com a atualização das normas relativas à gestão documental pela GEDOC, alguns procedimentos foram criados e outros atualizados (quadro 4), dentre estes o estabelecimento de passos para a avaliação, organização e classificação de documentos conforme o Art. 7º da Instrução Normativa nº 7/2025:</w:t>
      </w:r>
    </w:p>
    <w:p>
      <w:pPr>
        <w:pStyle w:val="normal1"/>
        <w:spacing w:lineRule="auto" w:line="240" w:before="0" w:after="0"/>
        <w:ind w:firstLine="850" w:left="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Art. 7º [...]</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I - Avaliação dos Documentos: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 Reunião de todos os documentos que devem ser classificados;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b) Verificação da integridade, legibilidade e completude dos documentos;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c) Separação dos documentos por setor de origem, função e tipo;</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d) Análise para determinar os valores primário e secundário dos documentos;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e) Identificação da natureza dos documentos: simples (formados por um único item documental) e compostos (formados por vários documentos que se conectam entre si).</w:t>
      </w:r>
    </w:p>
    <w:p>
      <w:pPr>
        <w:pStyle w:val="normal1"/>
        <w:widowControl/>
        <w:suppressAutoHyphens w:val="true"/>
        <w:bidi w:val="0"/>
        <w:spacing w:lineRule="auto" w:line="240" w:before="0" w:after="0"/>
        <w:ind w:hanging="0" w:left="2268" w:right="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II - Leitura e Análise do Conteúdo:</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 Exame do conteúdo de cada documento para identificar sua natureza e propósito, se pertencem à atividade-meio ou atividade-fim;</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b) Anotação de informações relevantes, como datas, autor, destinatário e assunto principal;</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c) Agrupamento de documentos com características semelhantes;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d) Identificação de documentos abrangidos pelo recorte temporal de que trata o artigo 1º, § 5º da Instrução Normativa SEA no 5/2024.</w:t>
      </w:r>
    </w:p>
    <w:p>
      <w:pPr>
        <w:pStyle w:val="normal1"/>
        <w:widowControl/>
        <w:suppressAutoHyphens w:val="true"/>
        <w:bidi w:val="0"/>
        <w:spacing w:lineRule="auto" w:line="240" w:before="0" w:after="0"/>
        <w:ind w:hanging="0" w:left="2268" w:right="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III - Separação de Documentos Originais e Cópias: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 Identificação de documentos originais e separação das cópias;</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b) Registro dos documentos originais, assegurando sua preservação e correta classificação;</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c) As cópias poderão ser mantidas temporariamente para consulta e referência. Após este uso, deverão ser descartadas.</w:t>
      </w:r>
    </w:p>
    <w:p>
      <w:pPr>
        <w:pStyle w:val="normal1"/>
        <w:widowControl/>
        <w:suppressAutoHyphens w:val="true"/>
        <w:bidi w:val="0"/>
        <w:spacing w:lineRule="auto" w:line="240" w:before="0" w:after="0"/>
        <w:ind w:hanging="0" w:left="2268" w:right="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IV - Aplicação do PCD:</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 Confirmação do tipo de atividade à qual pertence o documento a ser avaliado: área meio ou finalística;</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b) Consulta ao PCD para identificar adequadamente o grupo, subgrupo, função, subfunção, atividade e documento;</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c) Aplicação dos códigos de classificação definidos no PCD (anotação a lápis no documento sob classificação).</w:t>
      </w:r>
    </w:p>
    <w:p>
      <w:pPr>
        <w:pStyle w:val="normal1"/>
        <w:widowControl/>
        <w:suppressAutoHyphens w:val="true"/>
        <w:bidi w:val="0"/>
        <w:spacing w:lineRule="auto" w:line="240" w:before="0" w:after="0"/>
        <w:ind w:hanging="0" w:left="2268" w:right="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V - Aplicação da TTD:</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 Verificação dos prazos de guarda de cada tipo documental na TTD;</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b) Aplicação dos prazos de guarda e destinação final definidos na TTD para o documento sob avaliação;</w:t>
      </w:r>
    </w:p>
    <w:p>
      <w:pPr>
        <w:pStyle w:val="normal1"/>
        <w:widowControl/>
        <w:suppressAutoHyphens w:val="true"/>
        <w:bidi w:val="0"/>
        <w:spacing w:lineRule="auto" w:line="240" w:before="0" w:after="0"/>
        <w:ind w:hanging="0" w:left="2268" w:right="0"/>
        <w:jc w:val="both"/>
        <w:rPr>
          <w:rFonts w:ascii="Times New Roman" w:hAnsi="Times New Roman"/>
        </w:rPr>
      </w:pPr>
      <w:r>
        <w:rPr>
          <w:rFonts w:eastAsia="Times New Roman" w:cs="Times New Roman" w:ascii="Times New Roman" w:hAnsi="Times New Roman"/>
          <w:color w:val="auto"/>
          <w:sz w:val="20"/>
          <w:szCs w:val="20"/>
          <w:lang w:val="pt-BR" w:eastAsia="zh-CN" w:bidi="hi-IN"/>
        </w:rPr>
        <w:t>c) Separação das séries documentais que serão eliminadas, daqueles documentos que serão transferidos à guarda intermediária (Arquivo Central do órgão) ou recolhidos à guarda permanente (Arquivo Público do Estado) (Santa Catarina, IN nº 7, 2025).</w:t>
      </w:r>
    </w:p>
    <w:p>
      <w:pPr>
        <w:pStyle w:val="normal1"/>
        <w:spacing w:lineRule="auto" w:line="240" w:before="0" w:after="0"/>
        <w:ind w:firstLine="850" w:left="0"/>
        <w:jc w:val="both"/>
        <w:rPr>
          <w:rFonts w:ascii="Times New Roman" w:hAnsi="Times New Roman" w:eastAsia="Times New Roman" w:cs="Times New Roman"/>
          <w:color w:val="auto"/>
          <w:sz w:val="24"/>
          <w:szCs w:val="24"/>
          <w:highlight w:val="none"/>
          <w:shd w:fill="81D41A" w:val="clear"/>
          <w:lang w:val="pt-BR" w:eastAsia="zh-CN" w:bidi="hi-IN"/>
        </w:rPr>
      </w:pPr>
      <w:r>
        <w:rPr>
          <w:rFonts w:eastAsia="Times New Roman" w:cs="Times New Roman" w:ascii="Times New Roman" w:hAnsi="Times New Roman"/>
          <w:color w:val="000000"/>
          <w:sz w:val="24"/>
          <w:szCs w:val="24"/>
          <w:shd w:fill="81D41A" w:val="clear"/>
          <w:lang w:val="pt-BR" w:eastAsia="zh-CN" w:bidi="hi-IN"/>
        </w:rPr>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O Sistema Administrativo de Gestão Documental e Publicação Oficial (SGDPO) é composto pelos órgãos do Estado, subordinados para este fim à Secretaria de Estado de Administração, como órgão central, e à Diretoria de Tecnologia e Invocação, como Núcleo Técnico.</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Nesta estrutura, a Gerência de Gestão Documental (GEDOC), por intermédio da Diretoria de Arquivo Público do Estado (DIAP), é um dos núcleos técnicos que integram o SGDPO, responsável pela disseminação das orientações técnicas relativas à gestão de documentos.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Com esta organização, o Corpo de Bombeiros Militar e os demais órgãos do Poder Executivo do Estado, se integram a SGDPO quando atuam por meio de suas CPAD no cumprimento das normas vigentes conhecidas e apresentadas pela GEDOC por meio de reuniões mensais, oferecimento de cursos de base, visitas orientadas ao Arquivo Público, orientações junto ao órgão previamente agendadas, e outros.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Nos últimos 2 anos, a GEDOC tem aperfeiçoado seus processos de gestão documental por meio do favorecimento de reuniões com todas as CPAD que compõem o SGDPO, assim como na atualização e criação de normas e manuais a fim de facilitar a atuação dos órgãos nos processos de gestão de seus acervos. Mas essas facilitações nem sempre existiram, embora houvesse uma preocupação do Estado, por parte da DIAP, que os órgãos fizessem a gestão de seus arquivos visando o recolhimento para o Arquivo Público, assim como à otimização de espaços físicos.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No início de 2009, período em que o Corpo de Bombeiros Militar iniciou o seu processo de Avaliação Documental com a criação da primeira Comissão Permanente de Avaliação de Documentos da Instituição por meio da Portaria nº 126/CBMSC/2009, verifica-se que estavam em vigor a Lei Federal nº 8.159/1991, que dispõe sobre a política nacional de arquivos públicos e privados; a Lei Estadual nº 9747/1994, que dispõe sobre a avaliação e destinação dos documentos da Administração Pública Estadual de SC; o Decreto nº 1975/2008, que tratava do Sistema Administrativo de Gestão Documental e Publicação Oficial, tendo sido substituído atualmente pelo Decreto Estadual nº 902/2020; LC nº 381/2007, que dispõe sobre o modelo de gestão e a Estrutura Organizacional da Administração Pública do Estado; o Decreto nº 840/1999, que instituiu o Manual de Padronização e Redação dos Atos Oficiais.</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Este conjunto de legislações contribuiu, no período, para que a CPAD pudesse construir o seu plano de classificação e a tabela de temporalidade e destinação de documentos, como se verá a seguir.</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As orientações acerca da gestão documental do órgão, passavam pelo conhecimento destas leis e normas vigentes e pela anuência da Diretoria de Gestão Documental (DGED) (Santa Catarina, 2008), atualmente denominada Gerência de Gestão Documental (GEDOC), da Secretaria de Estado da Administração, sediada no Arquivo Público do Estado de Santa Catarina, cujas atribuições destaca-se a de “normatizar, supervisionar, fiscalizar e orientar tecnicamente os órgãos setoriais e seccionais quanto aos procedimentos administrativos relacionados à eliminação de documentos públicos, conforme os instrumentos de gestão documental publicados”, relativos ao Poder Executivo do Estado. (Secretaria de Estado da Administração, 2023, p. 7).</w:t>
      </w:r>
    </w:p>
    <w:p>
      <w:pPr>
        <w:pStyle w:val="normal1"/>
        <w:spacing w:lineRule="auto" w:line="240" w:before="0" w:after="0"/>
        <w:ind w:firstLine="850" w:left="0"/>
        <w:jc w:val="both"/>
        <w:rPr>
          <w:rFonts w:ascii="Times New Roman" w:hAnsi="Times New Roman"/>
        </w:rPr>
      </w:pPr>
      <w:r>
        <w:rPr>
          <w:rFonts w:eastAsia="Times New Roman" w:cs="Times New Roman" w:ascii="Times New Roman" w:hAnsi="Times New Roman"/>
          <w:color w:val="auto"/>
          <w:sz w:val="24"/>
          <w:szCs w:val="24"/>
          <w:lang w:val="pt-BR" w:eastAsia="zh-CN" w:bidi="hi-IN"/>
        </w:rPr>
        <w:t>Portanto, os processos de gestão e avaliação de documentos no CBMSC passaram pela legitimação de passos a serem seguidos, pela observação das Leis e normas vigentes, pela orientação do órgão competente no Estado para tomar as medidas cabíveis ao cumprimento das normas, a Secretaria de Estado da Administração, por meio da Gerência de Documentos, e pela consecução dos processos que eram homologados na publicação dos instrumentos de gestão, a saber, o plano de classificação e a tabela de temporalidade de documentos em Diário Oficial do Estado.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 primeira versão do PCD e da TTDD ocorreu em 23 de agosto de 2010, e publicada em Diário Oficial do Estado de SC nº 18.916, por meio da primeira Comissão Permanente de Avaliação de Documentos do CBMSC, criada pela Portaria nº 126/CBMSC de 22 de maio de 2009.</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Para a construção deste primeiro instrumento de gestão documental, tomou-se por base a Lei nº 9747/1994, que traz os seguintes conceitos sobre documentos imediatos:</w:t>
      </w:r>
    </w:p>
    <w:p>
      <w:pPr>
        <w:pStyle w:val="normal1"/>
        <w:spacing w:lineRule="auto" w:line="240" w:before="0" w:after="0"/>
        <w:ind w:firstLine="850"/>
        <w:jc w:val="both"/>
        <w:rPr>
          <w:rFonts w:ascii="Times New Roman" w:hAnsi="Times New Roman"/>
          <w:color w:val="auto"/>
          <w:sz w:val="24"/>
          <w:szCs w:val="24"/>
          <w:lang w:val="pt-BR"/>
        </w:rPr>
      </w:pPr>
      <w:r>
        <w:rPr>
          <w:rFonts w:ascii="Times New Roman" w:hAnsi="Times New Roman"/>
          <w:color w:val="auto"/>
          <w:sz w:val="24"/>
          <w:szCs w:val="24"/>
          <w:lang w:val="pt-BR"/>
        </w:rPr>
      </w:r>
    </w:p>
    <w:p>
      <w:pPr>
        <w:pStyle w:val="normal1"/>
        <w:widowControl/>
        <w:suppressAutoHyphens w:val="true"/>
        <w:bidi w:val="0"/>
        <w:spacing w:lineRule="auto" w:line="240" w:before="0" w:after="0"/>
        <w:ind w:hanging="0" w:left="2551" w:right="0"/>
        <w:jc w:val="both"/>
        <w:rPr>
          <w:rFonts w:ascii="Times New Roman" w:hAnsi="Times New Roman"/>
        </w:rPr>
      </w:pPr>
      <w:r>
        <w:rPr>
          <w:rFonts w:eastAsia="Times New Roman" w:cs="Times New Roman" w:ascii="Times New Roman" w:hAnsi="Times New Roman"/>
          <w:color w:val="auto"/>
          <w:sz w:val="20"/>
          <w:szCs w:val="20"/>
          <w:lang w:val="pt-BR" w:eastAsia="zh-CN" w:bidi="hi-IN"/>
        </w:rPr>
        <w:t>Art. 3º [...]</w:t>
      </w:r>
    </w:p>
    <w:p>
      <w:pPr>
        <w:pStyle w:val="normal1"/>
        <w:widowControl/>
        <w:suppressAutoHyphens w:val="true"/>
        <w:bidi w:val="0"/>
        <w:spacing w:lineRule="auto" w:line="240" w:before="0" w:after="0"/>
        <w:ind w:hanging="0" w:left="2551" w:right="0"/>
        <w:jc w:val="both"/>
        <w:rPr>
          <w:rFonts w:ascii="Times New Roman" w:hAnsi="Times New Roman"/>
        </w:rPr>
      </w:pPr>
      <w:r>
        <w:rPr>
          <w:rFonts w:eastAsia="Times New Roman" w:cs="Times New Roman" w:ascii="Times New Roman" w:hAnsi="Times New Roman"/>
          <w:color w:val="auto"/>
          <w:sz w:val="20"/>
          <w:szCs w:val="20"/>
          <w:lang w:val="pt-BR" w:eastAsia="zh-CN" w:bidi="hi-IN"/>
        </w:rPr>
        <w:t>§ 1º São documentos de valor imediato e guarda temporária aqueles que, esgotados os prazos de vigência e precaucional estabelecidos em tabelas de temporalidade, podem ser eliminados sem prejuízo para a coletividade ou memória da administração.</w:t>
      </w:r>
    </w:p>
    <w:p>
      <w:pPr>
        <w:pStyle w:val="normal1"/>
        <w:widowControl/>
        <w:suppressAutoHyphens w:val="true"/>
        <w:bidi w:val="0"/>
        <w:spacing w:lineRule="auto" w:line="240" w:before="0" w:after="0"/>
        <w:ind w:hanging="0" w:left="2551" w:right="0"/>
        <w:jc w:val="both"/>
        <w:rPr>
          <w:rFonts w:ascii="Times New Roman" w:hAnsi="Times New Roman"/>
        </w:rPr>
      </w:pPr>
      <w:r>
        <w:rPr>
          <w:rFonts w:eastAsia="Times New Roman" w:cs="Times New Roman" w:ascii="Times New Roman" w:hAnsi="Times New Roman"/>
          <w:color w:val="auto"/>
          <w:sz w:val="20"/>
          <w:szCs w:val="20"/>
          <w:lang w:val="pt-BR" w:eastAsia="zh-CN" w:bidi="hi-IN"/>
        </w:rPr>
        <w:t>§ 2º São documentos de valor imediato e guarda permanente aqueles que, esgotados os prazos de vigência e precaucional estabelecidos em tabelas de temporalidade, apresentam no seu conteúdo ou forma, informações que devam ser preservadas para a memória da administração, ou possam servir de pesquisa ou prova à coletividade. (Santa Catarina, 1994)</w:t>
      </w:r>
    </w:p>
    <w:p>
      <w:pPr>
        <w:pStyle w:val="Contedodatabela"/>
        <w:spacing w:lineRule="auto" w:line="240"/>
        <w:jc w:val="both"/>
        <w:rPr>
          <w:rFonts w:ascii="Times New Roman" w:hAnsi="Times New Roman" w:eastAsia="Times New Roman" w:cs="Times New Roman"/>
          <w:lang w:val="pt-BR"/>
        </w:rPr>
      </w:pPr>
      <w:r>
        <w:rPr>
          <w:rFonts w:eastAsia="Times New Roman" w:cs="Times New Roman"/>
          <w:lang w:val="pt-BR"/>
        </w:rPr>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Portanto, a Lei observa que existem documentos imediatos com guarda temporária, que são aqueles que após cumprirem sua função inicial, são elimináveis após cumprirem seu prazo de guarda, assim como também existem os documentos imediatos de guarda permanente, isto é, após cumprirem o seu objetivo para o qual foram produzidos, ainda podem apresentar alguma informação relevante para além de sua função.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000000"/>
          <w:sz w:val="24"/>
          <w:szCs w:val="24"/>
          <w:lang w:val="pt-BR" w:eastAsia="zh-CN" w:bidi="hi-IN"/>
        </w:rPr>
        <w:t>A Lei também traz em seu texto, a relação dos documentos considerados pela administração como sendo de valor mediato evidente e guarda permanente, e que portanto após sua guarda intermediária, devam ser recolhidos ao Arquivo Público do Estado.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O Decreto nº 1975/2008, serviu de base para a identificação da hierarquização do sistema administrativo de gestão documental e publicação oficial do Estado, e só foi resgatado para esta pesquisa por meio da exploração documental no órgão, uma vez que não está mais em vigor.</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Dessa forma, a legislação citada cumpriu o seu papel na estruturação da tabela de temporalidade e destinação de documentos do órgão.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Para fins didáticos e práticos, apresenta-se o Quadro 4 com a legislação e normas utilizadas para a construção destes instrumentos de gestão documental pela CPAD.</w:t>
      </w:r>
    </w:p>
    <w:p>
      <w:pPr>
        <w:pStyle w:val="normal1"/>
        <w:spacing w:lineRule="auto" w:line="240" w:before="0" w:after="0"/>
        <w:ind w:firstLine="850"/>
        <w:jc w:val="both"/>
        <w:rPr>
          <w:rFonts w:ascii="Times New Roman" w:hAnsi="Times New Roman"/>
          <w:color w:val="auto"/>
          <w:sz w:val="24"/>
          <w:szCs w:val="24"/>
          <w:lang w:val="pt-BR"/>
        </w:rPr>
      </w:pPr>
      <w:r>
        <w:rPr>
          <w:rFonts w:ascii="Times New Roman" w:hAnsi="Times New Roman"/>
          <w:color w:val="auto"/>
          <w:sz w:val="24"/>
          <w:szCs w:val="24"/>
          <w:lang w:val="pt-BR"/>
        </w:rPr>
      </w:r>
    </w:p>
    <w:p>
      <w:pPr>
        <w:pStyle w:val="normal1"/>
        <w:widowControl/>
        <w:suppressAutoHyphens w:val="true"/>
        <w:bidi w:val="0"/>
        <w:spacing w:lineRule="auto" w:line="240" w:before="0" w:after="0"/>
        <w:ind w:hanging="0" w:left="0" w:right="0"/>
        <w:jc w:val="center"/>
        <w:rPr>
          <w:rFonts w:ascii="Times New Roman" w:hAnsi="Times New Roman"/>
        </w:rPr>
      </w:pPr>
      <w:r>
        <w:rPr>
          <w:rFonts w:ascii="Times New Roman" w:hAnsi="Times New Roman"/>
          <w:b/>
          <w:bCs/>
          <w:sz w:val="24"/>
          <w:szCs w:val="24"/>
          <w:lang w:val="pt-BR" w:eastAsia="zh-CN" w:bidi="hi-IN"/>
        </w:rPr>
        <w:t>Quadro 4</w:t>
      </w:r>
      <w:r>
        <w:rPr>
          <w:rFonts w:ascii="Times New Roman" w:hAnsi="Times New Roman"/>
          <w:sz w:val="24"/>
          <w:szCs w:val="24"/>
          <w:lang w:val="pt-BR" w:eastAsia="zh-CN" w:bidi="hi-IN"/>
        </w:rPr>
        <w:t xml:space="preserve"> – Legislação e Normas Relativas a Gestão Documental em SC</w:t>
      </w:r>
    </w:p>
    <w:tbl>
      <w:tblPr>
        <w:tblW w:w="5000" w:type="pct"/>
        <w:jc w:val="left"/>
        <w:tblInd w:w="55" w:type="dxa"/>
        <w:tblLayout w:type="fixed"/>
        <w:tblCellMar>
          <w:top w:w="55" w:type="dxa"/>
          <w:left w:w="55" w:type="dxa"/>
          <w:bottom w:w="55" w:type="dxa"/>
          <w:right w:w="55" w:type="dxa"/>
        </w:tblCellMar>
      </w:tblPr>
      <w:tblGrid>
        <w:gridCol w:w="1919"/>
        <w:gridCol w:w="7151"/>
      </w:tblGrid>
      <w:tr>
        <w:trPr/>
        <w:tc>
          <w:tcPr>
            <w:tcW w:w="1919" w:type="dxa"/>
            <w:tcBorders>
              <w:top w:val="single" w:sz="4" w:space="0" w:color="000000"/>
              <w:left w:val="single" w:sz="4" w:space="0" w:color="000000"/>
              <w:bottom w:val="single" w:sz="4" w:space="0" w:color="000000"/>
            </w:tcBorders>
          </w:tcPr>
          <w:p>
            <w:pPr>
              <w:pStyle w:val="Contedodatabela"/>
              <w:spacing w:lineRule="auto" w:line="240"/>
              <w:rPr>
                <w:sz w:val="20"/>
                <w:szCs w:val="20"/>
              </w:rPr>
            </w:pPr>
            <w:r>
              <w:rPr>
                <w:b/>
                <w:bCs/>
                <w:sz w:val="20"/>
                <w:szCs w:val="20"/>
                <w:lang w:val="pt-BR" w:eastAsia="zh-CN" w:bidi="hi-IN"/>
              </w:rPr>
              <w:t>Legislação</w:t>
            </w:r>
          </w:p>
        </w:tc>
        <w:tc>
          <w:tcPr>
            <w:tcW w:w="7151" w:type="dxa"/>
            <w:tcBorders>
              <w:top w:val="single" w:sz="4" w:space="0" w:color="000000"/>
              <w:left w:val="single" w:sz="4" w:space="0" w:color="000000"/>
              <w:bottom w:val="single" w:sz="4" w:space="0" w:color="000000"/>
              <w:right w:val="single" w:sz="4" w:space="0" w:color="000000"/>
            </w:tcBorders>
          </w:tcPr>
          <w:p>
            <w:pPr>
              <w:pStyle w:val="Contedodatabela"/>
              <w:spacing w:lineRule="auto" w:line="240"/>
              <w:rPr>
                <w:sz w:val="20"/>
                <w:szCs w:val="20"/>
              </w:rPr>
            </w:pPr>
            <w:r>
              <w:rPr>
                <w:b/>
                <w:bCs/>
                <w:sz w:val="20"/>
                <w:szCs w:val="20"/>
                <w:lang w:val="pt-BR" w:eastAsia="zh-CN" w:bidi="hi-IN"/>
              </w:rPr>
              <w:t>Descrição</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Lei nº 6.217/1983</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Organização básica da Polícia Militar de SC</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Lei nº 8.159/1991</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Política Nacional de arquivos públicos e privados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Lei nº 9.747/1994</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Avaliação e destinação de documentos da Administração Pública Estadual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LC nº 284/2005*</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Modelo de gestão para a administração pública estadual e sobre a estrutura organizacional do Poder Executivo</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LC nº 381/2007*</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Modelo de gestão e a estrutura organizacional da administração pública do Estado</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LC 724/2018</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Organização básica do Corpo de Bombeiros Militar de SC</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LC 741/2019</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Dispõe sobre a estrutura organizacional básica e o modelo de gestão da administração pública estadual.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19237/1983</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Regulamento da Lei nº 6.217/1983 organização básica da Polícia Militar de SC</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840/1999</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Institui o manual para padronização e redação dos atos oficiais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3585/2005*</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Estrutura, organização e administração do sistema administrativo de gestão documental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1975/2008*</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Sistema administrativo de gestão documental e publicação oficial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39/2019</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Institui o programa governo sem papel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902/2020</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Sistema administrativo de gestão documental e publicação oficial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1070/2020</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Institui o suplemento à 3ª edição do manual para padronização e redação dos atos oficiais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Decreto nº 1328/2021</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Regulamento da Lei Comp. 724/2018, organização básica do CBMSC</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02/2006*</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Organização e transferência da documentação oficial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10/2006</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Gestão de documentos digitais em programas informatizados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9/2007*</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Orienta sobre procedimentos para destinação de documentação oficial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10/2007*</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Orienta sobre procedimentos para a eliminação de documentos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6/2008*</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Procedimentos na designação e atribuição da CPAD</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18/2008*</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Procedimentos relativos ao plano de classificação de documentos e tabela de temporalidade</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2/2011*</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Procedimentos relativos ao registro, autuação, expedição, tramitação e arquivamento de documentos e processos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3/2019</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Procedimentos para utilização do SGPE</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16/2020*</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Orienta sobre procedimentos para a eliminação de documentos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7/2021</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Digitalização e substituição de documentos arquivísticos físicos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2/2024*</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Orienta sobre procedimentos para eliminação de processos e documentos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5/2024</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Recolhimento de documentos ao Arquivo Público</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8/2024</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Atribuições da CPAD</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10/2024</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Orienta sobre procedimentos para eliminação de documentos e seleção de amostras</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4/2025</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Elaboração, aplicação e atualização do PCD e TTDD das atividades meio e fim</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5/2025</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Transferência de documentos para as unidades de arquivo intermediário/arquivo central</w:t>
            </w:r>
          </w:p>
        </w:tc>
      </w:tr>
      <w:tr>
        <w:trPr/>
        <w:tc>
          <w:tcPr>
            <w:tcW w:w="1919" w:type="dxa"/>
            <w:tcBorders>
              <w:left w:val="single" w:sz="4" w:space="0" w:color="000000"/>
              <w:bottom w:val="single" w:sz="4" w:space="0" w:color="000000"/>
            </w:tcBorders>
          </w:tcPr>
          <w:p>
            <w:pPr>
              <w:pStyle w:val="Contedodatabela"/>
              <w:spacing w:lineRule="auto" w:line="240"/>
              <w:rPr>
                <w:sz w:val="20"/>
                <w:szCs w:val="20"/>
              </w:rPr>
            </w:pPr>
            <w:r>
              <w:rPr>
                <w:color w:val="auto"/>
                <w:sz w:val="20"/>
                <w:szCs w:val="20"/>
                <w:lang w:val="pt-BR" w:eastAsia="zh-CN" w:bidi="hi-IN"/>
              </w:rPr>
              <w:t>IN nº 7/2025</w:t>
            </w:r>
          </w:p>
        </w:tc>
        <w:tc>
          <w:tcPr>
            <w:tcW w:w="7151"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color w:val="auto"/>
                <w:sz w:val="20"/>
                <w:szCs w:val="20"/>
                <w:lang w:val="pt-BR" w:eastAsia="zh-CN" w:bidi="hi-IN"/>
              </w:rPr>
              <w:t>Avaliação, organização e classificação de documentos</w:t>
            </w:r>
          </w:p>
        </w:tc>
      </w:tr>
    </w:tbl>
    <w:p>
      <w:pPr>
        <w:pStyle w:val="normal1"/>
        <w:spacing w:lineRule="auto" w:line="240" w:before="0" w:after="0"/>
        <w:ind w:hanging="0"/>
        <w:jc w:val="both"/>
        <w:rPr>
          <w:b w:val="false"/>
          <w:bCs w:val="false"/>
        </w:rPr>
      </w:pPr>
      <w:r>
        <w:rPr>
          <w:rFonts w:ascii="Times New Roman" w:hAnsi="Times New Roman"/>
          <w:b w:val="false"/>
          <w:bCs w:val="false"/>
          <w:sz w:val="20"/>
          <w:szCs w:val="20"/>
          <w:lang w:val="pt-BR" w:eastAsia="zh-CN" w:bidi="hi-IN"/>
        </w:rPr>
        <w:t>Fonte: Organizado pelo autor (2025).</w:t>
      </w:r>
    </w:p>
    <w:p>
      <w:pPr>
        <w:pStyle w:val="normal1"/>
        <w:spacing w:lineRule="auto" w:line="240" w:before="0" w:after="0"/>
        <w:ind w:hanging="0"/>
        <w:jc w:val="both"/>
        <w:rPr>
          <w:b w:val="false"/>
          <w:bCs w:val="false"/>
        </w:rPr>
      </w:pPr>
      <w:r>
        <w:rPr>
          <w:rFonts w:ascii="Times New Roman" w:hAnsi="Times New Roman"/>
          <w:b w:val="false"/>
          <w:bCs w:val="false"/>
          <w:sz w:val="20"/>
          <w:szCs w:val="20"/>
          <w:lang w:val="pt-BR" w:eastAsia="zh-CN" w:bidi="hi-IN"/>
        </w:rPr>
        <w:t>Nota: *Leis, decretos e instruções normativas revogadas.</w:t>
      </w:r>
    </w:p>
    <w:p>
      <w:pPr>
        <w:pStyle w:val="normal1"/>
        <w:spacing w:lineRule="auto" w:line="240" w:before="0" w:after="0"/>
        <w:ind w:hanging="0"/>
        <w:jc w:val="both"/>
        <w:rPr>
          <w:rFonts w:ascii="Times New Roman" w:hAnsi="Times New Roman"/>
          <w:lang w:val="pt-BR"/>
        </w:rPr>
      </w:pPr>
      <w:r>
        <w:rPr>
          <w:rFonts w:ascii="Times New Roman" w:hAnsi="Times New Roman"/>
          <w:lang w:val="pt-BR"/>
        </w:rPr>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Além da legislação, para a construção do PCD e da TTDD da instituição, a Comissão contou também com a Instrução Normativa nº 02/2006, que trata da organização e transferência da documentação oficial; Instrução Normativa nº 6/2008, que informa sobre os procedimentos na designação e atribuição da CPAD; Instrução Normativa nº 9/2007, que orienta quanto aos procedimentos de destinação da documentação oficial; Instrução Normativa nº 10/2006, que trata da gestão de documentos digitais em programas informatizados; Instrução Normativa nº 10/2007, que trata da eliminação de documentos; Instrução Normativa nº 18/2008, sobre procedimentos relativos ao Plano de Classificação de Documentos de Arquivo do Estado de Santa Catarina e da Tabela de Temporalidade e Destinação de Documentos de Arquivo do Estado de Santa Catarina das atividades-meio e atividades-fim.</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De posse dessas informações, a CPAD ainda fez o levantamento das tipologias informadas por todas as seções produtoras de documentos do CBMSC em todo o Estado através de e-mail, a fim de se obter um panorama geral do acervo documental presente na corporação.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Na sequência, com a identificação da estrutura do Órgão, atividades, funções e tipologias, fez-se a primeira versão do plano de classificação de documentos do CBMSC, do ano de 2010, tendo sido homologado pela Portaria nº 208 de 11 de agosto de 2010, obtendo a configuração apresentada na Figura 2.</w:t>
      </w:r>
    </w:p>
    <w:p>
      <w:pPr>
        <w:pStyle w:val="normal1"/>
        <w:spacing w:lineRule="auto" w:line="240" w:before="0" w:after="0"/>
        <w:ind w:firstLine="850"/>
        <w:jc w:val="both"/>
        <w:rPr>
          <w:rFonts w:ascii="Times New Roman" w:hAnsi="Times New Roman"/>
          <w:lang w:val="pt-BR"/>
        </w:rPr>
      </w:pPr>
      <w:r>
        <w:rPr>
          <w:rFonts w:ascii="Times New Roman" w:hAnsi="Times New Roman"/>
          <w:lang w:val="pt-BR"/>
        </w:rPr>
      </w:r>
    </w:p>
    <w:p>
      <w:pPr>
        <w:pStyle w:val="normal1"/>
        <w:widowControl/>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bCs/>
          <w:color w:val="auto"/>
          <w:sz w:val="24"/>
          <w:szCs w:val="24"/>
          <w:lang w:val="pt-BR" w:eastAsia="zh-CN" w:bidi="hi-IN"/>
        </w:rPr>
        <w:t>Figura 2</w:t>
      </w:r>
      <w:r>
        <w:rPr>
          <w:rFonts w:eastAsia="Times New Roman" w:cs="Times New Roman" w:ascii="Times New Roman" w:hAnsi="Times New Roman"/>
          <w:color w:val="auto"/>
          <w:sz w:val="24"/>
          <w:szCs w:val="24"/>
          <w:lang w:val="pt-BR" w:eastAsia="zh-CN" w:bidi="hi-IN"/>
        </w:rPr>
        <w:t xml:space="preserve"> – Plano de Classificação de Documentos do CBMSC</w:t>
      </w:r>
    </w:p>
    <w:tbl>
      <w:tblPr>
        <w:tblW w:w="5000" w:type="pct"/>
        <w:jc w:val="left"/>
        <w:tblInd w:w="55" w:type="dxa"/>
        <w:tblLayout w:type="fixed"/>
        <w:tblCellMar>
          <w:top w:w="55" w:type="dxa"/>
          <w:left w:w="55" w:type="dxa"/>
          <w:bottom w:w="55" w:type="dxa"/>
          <w:right w:w="55" w:type="dxa"/>
        </w:tblCellMar>
      </w:tblPr>
      <w:tblGrid>
        <w:gridCol w:w="9071"/>
      </w:tblGrid>
      <w:tr>
        <w:trPr/>
        <w:tc>
          <w:tcPr>
            <w:tcW w:w="9071" w:type="dxa"/>
            <w:tcBorders>
              <w:top w:val="single" w:sz="4" w:space="0" w:color="000000"/>
              <w:left w:val="single" w:sz="4" w:space="0" w:color="000000"/>
              <w:bottom w:val="single" w:sz="4" w:space="0" w:color="000000"/>
              <w:right w:val="single" w:sz="4" w:space="0" w:color="000000"/>
            </w:tcBorders>
          </w:tcPr>
          <w:p>
            <w:pPr>
              <w:pStyle w:val="normal1"/>
              <w:spacing w:lineRule="auto" w:line="240"/>
              <w:jc w:val="center"/>
              <w:rPr>
                <w:sz w:val="20"/>
                <w:szCs w:val="20"/>
              </w:rPr>
            </w:pPr>
            <w:r>
              <w:rPr>
                <w:rFonts w:eastAsia="Times New Roman" w:cs="Times New Roman" w:ascii="Times New Roman" w:hAnsi="Times New Roman"/>
                <w:b/>
                <w:color w:val="auto"/>
                <w:sz w:val="20"/>
                <w:szCs w:val="20"/>
                <w:lang w:val="pt-BR" w:eastAsia="zh-CN" w:bidi="hi-IN"/>
              </w:rPr>
              <w:t>PLANO DE CLASSIFICAÇÃO DE DOCUMENTOS DO ESTADO DE SANTA CATARINA - Atividade Fim</w:t>
            </w:r>
          </w:p>
          <w:p>
            <w:pPr>
              <w:pStyle w:val="normal1"/>
              <w:spacing w:lineRule="auto" w:line="240"/>
              <w:jc w:val="center"/>
              <w:rPr>
                <w:sz w:val="20"/>
                <w:szCs w:val="20"/>
              </w:rPr>
            </w:pPr>
            <w:r>
              <w:rPr>
                <w:rFonts w:eastAsia="Times New Roman" w:cs="Times New Roman" w:ascii="Times New Roman" w:hAnsi="Times New Roman"/>
                <w:color w:val="auto"/>
                <w:sz w:val="20"/>
                <w:szCs w:val="20"/>
                <w:lang w:val="pt-BR" w:eastAsia="zh-CN" w:bidi="hi-IN"/>
              </w:rPr>
              <w:t>(DOE/SC N° 18.916, Pág. 23, Publicação 23/08/2010)</w:t>
            </w:r>
          </w:p>
          <w:p>
            <w:pPr>
              <w:pStyle w:val="normal1"/>
              <w:tabs>
                <w:tab w:val="clear" w:pos="720"/>
                <w:tab w:val="left" w:pos="1984" w:leader="none"/>
                <w:tab w:val="left" w:pos="3543" w:leader="none"/>
              </w:tabs>
              <w:spacing w:lineRule="auto" w:line="24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tabs>
                <w:tab w:val="clear" w:pos="720"/>
                <w:tab w:val="left" w:pos="1984" w:leader="none"/>
                <w:tab w:val="left" w:pos="3543"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Órgão Responsável: CBMSC - Corpo de Bombeiros Militar de Santa Catarina</w:t>
            </w:r>
          </w:p>
          <w:p>
            <w:pPr>
              <w:pStyle w:val="normal1"/>
              <w:tabs>
                <w:tab w:val="clear" w:pos="720"/>
                <w:tab w:val="left" w:pos="1984" w:leader="none"/>
                <w:tab w:val="left" w:pos="3543" w:leader="none"/>
              </w:tabs>
              <w:spacing w:lineRule="auto" w:line="24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Grupo:</w:t>
              <w:tab/>
              <w:t>06</w:t>
              <w:tab/>
              <w:t>GESTÃO DE SERVIÇOS PÚBLICOS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Subgrupo:</w:t>
              <w:tab/>
              <w:t>06.03</w:t>
              <w:tab/>
              <w:t>SEGURANÇA PÚBLICA</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Função:</w:t>
              <w:tab/>
              <w:t>06.03.06</w:t>
              <w:tab/>
              <w:t>Corpo de Bombeiro Militar (Corpo de Bombeiros)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Subfunção:</w:t>
              <w:tab/>
              <w:t>06.03.06.01</w:t>
              <w:tab/>
              <w:t>Prevenção e Combate a Incêndios, 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Atividade:</w:t>
              <w:tab/>
              <w:t>06.03.06.01.01</w:t>
              <w:tab/>
              <w:t>Combate a Incêndio e outros Sinistros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Documentos:</w:t>
              <w:tab/>
              <w:t>06.03.06.01.01.001</w:t>
              <w:tab/>
              <w:t>Boletim de Ocorrência sobre Combate a Incêndio e outros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ab/>
              <w:t>Sinistros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06.03.06.01.01.002</w:t>
              <w:tab/>
              <w:t>Certidão de Ocorrência sobre Combate a Incêndio e outros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ab/>
              <w:t>Sinistros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06.03.06.01.01.003</w:t>
              <w:tab/>
              <w:t xml:space="preserve">Ficha de Acidente de Viatura em Combate a Incêndio e outros </w:t>
              <w:tab/>
              <w:tab/>
              <w:t>Sinistros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06.03.06.01.01.004</w:t>
              <w:tab/>
              <w:t>Relatório Individual de Incêndio e outros Sinistros</w:t>
            </w:r>
          </w:p>
          <w:p>
            <w:pPr>
              <w:pStyle w:val="normal1"/>
              <w:tabs>
                <w:tab w:val="clear" w:pos="720"/>
                <w:tab w:val="left" w:pos="1539" w:leader="none"/>
                <w:tab w:val="left" w:pos="3669" w:leader="none"/>
              </w:tabs>
              <w:spacing w:lineRule="auto" w:line="240"/>
              <w:jc w:val="both"/>
              <w:rPr>
                <w:rFonts w:ascii="Times New Roman" w:hAnsi="Times New Roman" w:eastAsia="Times New Roman" w:cs="Times New Roman"/>
                <w:color w:val="auto"/>
                <w:sz w:val="20"/>
                <w:szCs w:val="20"/>
                <w:lang w:val="pt-BR" w:eastAsia="zh-CN" w:bidi="hi-IN"/>
              </w:rPr>
            </w:pPr>
            <w:r>
              <w:rPr>
                <w:rFonts w:eastAsia="Times New Roman" w:cs="Times New Roman" w:ascii="Times New Roman" w:hAnsi="Times New Roman"/>
                <w:color w:val="auto"/>
                <w:sz w:val="20"/>
                <w:szCs w:val="20"/>
                <w:lang w:val="pt-BR" w:eastAsia="zh-CN" w:bidi="hi-IN"/>
              </w:rPr>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Atividade:</w:t>
              <w:tab/>
              <w:t>06.03.06.01.02</w:t>
              <w:tab/>
              <w:t>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Documentos:</w:t>
              <w:tab/>
              <w:t>06.03.06.01.02.001</w:t>
              <w:tab/>
              <w:t>Boletim de Ocorrência sobre 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06.03.06.01.02.002</w:t>
              <w:tab/>
              <w:t>Certidão de Ocorrência sobre 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06.03.06.01.02.003</w:t>
              <w:tab/>
              <w:t>Ficha de Atendimento Pré Hospitalar na 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06.03.06.01.02.004</w:t>
              <w:tab/>
              <w:t>Ficha de Acidente de Viatura em Busca e Salvamento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b/>
                <w:color w:val="auto"/>
                <w:sz w:val="20"/>
                <w:szCs w:val="20"/>
                <w:lang w:val="pt-BR" w:eastAsia="zh-CN" w:bidi="hi-IN"/>
              </w:rPr>
              <w:t>Atividade:</w:t>
              <w:tab/>
              <w:t>06.03.06.01.03</w:t>
              <w:tab/>
              <w:t>Prevenção contra Incêndios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Documentos:</w:t>
              <w:tab/>
              <w:t>06.03.06.01.03.001</w:t>
              <w:tab/>
              <w:t>Atestado de Aprovação de Projeto sobre Prevenção contra</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ab/>
              <w:t>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06.03.06.01.03.002</w:t>
              <w:tab/>
              <w:t>Atestado de Implantação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06.03.06.01.03.003</w:t>
              <w:tab/>
              <w:t>Atestado de Manutenção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06.03.06.01.03.004</w:t>
              <w:tab/>
              <w:t>Atestado para Fins de Funcionamento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06.03.06.01.03.005</w:t>
              <w:tab/>
              <w:t>Atestado para Habite-se</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06.03.06.01.03.006</w:t>
              <w:tab/>
              <w:t>Boletim Informativo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06.03.06.01.03.007</w:t>
              <w:tab/>
              <w:t>Cronograma de Obra</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06.03.06.01.03.008</w:t>
              <w:tab/>
              <w:t>Guia de Cobrança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06.03.06.01.03.009</w:t>
              <w:tab/>
              <w:t>Instrução de Análise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06.03.06.01.03.010</w:t>
              <w:tab/>
              <w:t>Instrução de Vistoria sobre Prevenção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06.03.06.01.03.011</w:t>
              <w:tab/>
              <w:t>Instrução Normativa sobre Prevenção contra Incêndios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06.03.06.01.03.012</w:t>
              <w:tab/>
              <w:t>Instrução Reguladora Gerencial sobre Prevenção contra Incêndios</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06.03.06.01.03.013</w:t>
              <w:tab/>
              <w:t>Norma de Segurança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06.03.06.01.03.014</w:t>
              <w:tab/>
              <w:t>Projeto Preventivo contra Incêndio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06.03.06.01.03.015</w:t>
              <w:tab/>
              <w:t>Relatório de Análise de Projeto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06.03.06.01.03.016</w:t>
              <w:tab/>
              <w:t>Relatório de Vistoria de Constatação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06.03.06.01.03.017</w:t>
              <w:tab/>
              <w:t>Relatório de Vistoria de Funcionamento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06.03.06.01.03.018</w:t>
              <w:tab/>
              <w:t>Relatório de Vistoria de Habite-se</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06.03.06.01.03.019</w:t>
              <w:tab/>
              <w:t>Relatório de Vistoria de Implantação</w:t>
            </w:r>
          </w:p>
          <w:p>
            <w:pPr>
              <w:pStyle w:val="normal1"/>
              <w:tabs>
                <w:tab w:val="clear" w:pos="720"/>
                <w:tab w:val="left" w:pos="1539" w:leader="none"/>
                <w:tab w:val="left" w:pos="3669" w:leader="none"/>
              </w:tabs>
              <w:spacing w:lineRule="auto" w:line="240"/>
              <w:jc w:val="both"/>
              <w:rPr>
                <w:sz w:val="20"/>
                <w:szCs w:val="20"/>
              </w:rPr>
            </w:pPr>
            <w:r>
              <w:rPr>
                <w:rFonts w:eastAsia="Times New Roman" w:cs="Times New Roman" w:ascii="Times New Roman" w:hAnsi="Times New Roman"/>
                <w:color w:val="auto"/>
                <w:sz w:val="20"/>
                <w:szCs w:val="20"/>
                <w:lang w:val="pt-BR" w:eastAsia="zh-CN" w:bidi="hi-IN"/>
              </w:rPr>
              <w:tab/>
              <w:t>06.03.06.01.03.020</w:t>
              <w:tab/>
              <w:t>Relatório de Vistoria de Manutenção</w:t>
            </w:r>
          </w:p>
        </w:tc>
      </w:tr>
    </w:tbl>
    <w:p>
      <w:pPr>
        <w:pStyle w:val="normal1"/>
        <w:widowControl/>
        <w:suppressAutoHyphens w:val="true"/>
        <w:bidi w:val="0"/>
        <w:spacing w:lineRule="auto" w:line="240" w:before="0" w:after="0"/>
        <w:ind w:hanging="0" w:left="0" w:right="0"/>
        <w:jc w:val="both"/>
        <w:rPr>
          <w:b w:val="false"/>
          <w:bCs w:val="false"/>
        </w:rPr>
      </w:pPr>
      <w:r>
        <w:rPr>
          <w:rFonts w:eastAsia="Times New Roman" w:cs="Times New Roman" w:ascii="Times New Roman" w:hAnsi="Times New Roman"/>
          <w:b w:val="false"/>
          <w:bCs w:val="false"/>
          <w:color w:val="auto"/>
          <w:sz w:val="20"/>
          <w:szCs w:val="20"/>
          <w:lang w:val="pt-BR" w:eastAsia="zh-CN" w:bidi="hi-IN"/>
        </w:rPr>
        <w:t>Fonte: Diário Oficial do Estado de Santa Catarina nº 18916 (2010)</w:t>
      </w:r>
    </w:p>
    <w:p>
      <w:pPr>
        <w:pStyle w:val="normal1"/>
        <w:spacing w:lineRule="auto" w:line="240" w:before="0" w:after="0"/>
        <w:ind w:firstLine="850"/>
        <w:jc w:val="both"/>
        <w:rPr>
          <w:rFonts w:ascii="Times New Roman" w:hAnsi="Times New Roman" w:eastAsia="Times New Roman" w:cs="Times New Roman"/>
          <w:color w:val="auto"/>
          <w:sz w:val="24"/>
          <w:szCs w:val="24"/>
          <w:lang w:eastAsia="zh-CN" w:bidi="hi-IN"/>
        </w:rPr>
      </w:pPr>
      <w:r>
        <w:rPr>
          <w:rFonts w:eastAsia="Times New Roman" w:cs="Times New Roman" w:ascii="Times New Roman" w:hAnsi="Times New Roman"/>
          <w:color w:val="auto"/>
          <w:sz w:val="24"/>
          <w:szCs w:val="24"/>
          <w:lang w:eastAsia="zh-CN" w:bidi="hi-IN"/>
        </w:rPr>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Conforme se observa, o plano possui uma estrutura funcional, com método duplex, o que permite o acréscimo de novas classes, sendo organizado por grupo, subgrupo, função, subfunção, atividade e termina no item documental.</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Este modelo está alinhado com o modelo do plano de classificação da atividade meio, que no Estado de Santa Catarina, o Poder Executivo segue o plano da Secretaria de Estado da Administração.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Para a criação da TTDD, o próximo passo foi o de estabelecer prazos para os documentos de acordo com a legislação vigente, comparando-se as tipologias existentes com as tabelas de temporalidade da Forças Armadas, Ministério da Defesa e outras corporações militares de outros Estado da Federação.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Juntamente com esta pesquisa, utilizou-se o formulário de levantamento de elaboração da TTDD do Estado de SC, conforme modelo apresentado no apêndice A.</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Através deste formulário devidamente preenchido com os dados dos documentos em análise (Figura 5), fez-se uma reunião para a apreciação da CPAD para deliberações sobre os prazos de guarda e destinação dos documentos, com o objetivo de se definirem os prazos de vigência, prescrição e precaução, com base na realidade de cada órgão produtor do seu grupo de documentos, uma vez que a CPAD é composta por uma equipe de representantes de cada setor produtor de documentos da Instituição.</w:t>
      </w:r>
    </w:p>
    <w:p>
      <w:pPr>
        <w:pStyle w:val="normal1"/>
        <w:spacing w:lineRule="auto" w:line="240" w:before="0" w:after="0"/>
        <w:ind w:firstLine="850"/>
        <w:jc w:val="both"/>
        <w:rPr>
          <w:rFonts w:ascii="Times New Roman" w:hAnsi="Times New Roman"/>
        </w:rPr>
      </w:pPr>
      <w:r>
        <w:rPr>
          <w:rFonts w:eastAsia="Times New Roman" w:cs="Times New Roman" w:ascii="Times New Roman" w:hAnsi="Times New Roman"/>
          <w:color w:val="auto"/>
          <w:sz w:val="24"/>
          <w:szCs w:val="24"/>
          <w:lang w:val="pt-BR" w:eastAsia="zh-CN" w:bidi="hi-IN"/>
        </w:rPr>
        <w:t>Ao final do levantamento das informações relativas ao formulário, obteve-se a TTDD do órgão, conforme modelo de extrato abaixo, e que segue integralmente no apêndice B:</w:t>
      </w:r>
    </w:p>
    <w:p>
      <w:pPr>
        <w:pStyle w:val="normal1"/>
        <w:spacing w:lineRule="auto" w:line="240" w:before="0" w:after="0"/>
        <w:ind w:firstLine="850"/>
        <w:jc w:val="both"/>
        <w:rPr>
          <w:rFonts w:ascii="Times New Roman" w:hAnsi="Times New Roman"/>
          <w:lang w:val="pt-BR"/>
        </w:rPr>
      </w:pPr>
      <w:r>
        <w:rPr>
          <w:rFonts w:ascii="Times New Roman" w:hAnsi="Times New Roman"/>
          <w:lang w:val="pt-BR"/>
        </w:rPr>
      </w:r>
    </w:p>
    <w:p>
      <w:pPr>
        <w:pStyle w:val="normal1"/>
        <w:spacing w:lineRule="auto" w:line="240" w:before="0" w:after="0"/>
        <w:ind w:hanging="0"/>
        <w:jc w:val="center"/>
        <w:rPr>
          <w:rFonts w:ascii="Times New Roman" w:hAnsi="Times New Roman"/>
        </w:rPr>
      </w:pPr>
      <w:r>
        <w:rPr>
          <w:rFonts w:eastAsia="Times New Roman" w:cs="Times New Roman" w:ascii="Times New Roman" w:hAnsi="Times New Roman"/>
          <w:b/>
          <w:bCs/>
          <w:color w:val="auto"/>
          <w:sz w:val="24"/>
          <w:szCs w:val="24"/>
          <w:lang w:val="pt-BR" w:eastAsia="zh-CN" w:bidi="hi-IN"/>
        </w:rPr>
        <w:t>Figura 3</w:t>
      </w:r>
      <w:r>
        <w:rPr>
          <w:rFonts w:eastAsia="Times New Roman" w:cs="Times New Roman" w:ascii="Times New Roman" w:hAnsi="Times New Roman"/>
          <w:color w:val="auto"/>
          <w:sz w:val="24"/>
          <w:szCs w:val="24"/>
          <w:lang w:val="pt-BR" w:eastAsia="zh-CN" w:bidi="hi-IN"/>
        </w:rPr>
        <w:t xml:space="preserve"> – Tabela de Temporalidade de Documentos do CBMSC</w:t>
      </w:r>
    </w:p>
    <w:tbl>
      <w:tblPr>
        <w:tblW w:w="5000" w:type="pct"/>
        <w:jc w:val="left"/>
        <w:tblInd w:w="55" w:type="dxa"/>
        <w:tblLayout w:type="fixed"/>
        <w:tblCellMar>
          <w:top w:w="55" w:type="dxa"/>
          <w:left w:w="55" w:type="dxa"/>
          <w:bottom w:w="55" w:type="dxa"/>
          <w:right w:w="55" w:type="dxa"/>
        </w:tblCellMar>
      </w:tblPr>
      <w:tblGrid>
        <w:gridCol w:w="9071"/>
      </w:tblGrid>
      <w:tr>
        <w:trPr/>
        <w:tc>
          <w:tcPr>
            <w:tcW w:w="9071" w:type="dxa"/>
            <w:tcBorders>
              <w:top w:val="single" w:sz="4" w:space="0" w:color="000000"/>
              <w:left w:val="single" w:sz="4" w:space="0" w:color="000000"/>
              <w:bottom w:val="single" w:sz="4" w:space="0" w:color="000000"/>
              <w:right w:val="single" w:sz="4" w:space="0" w:color="000000"/>
            </w:tcBorders>
          </w:tcPr>
          <w:p>
            <w:pPr>
              <w:pStyle w:val="normal1"/>
              <w:spacing w:lineRule="auto" w:line="240" w:before="0" w:after="0"/>
              <w:ind w:hanging="0"/>
              <w:jc w:val="center"/>
              <w:rPr>
                <w:sz w:val="20"/>
                <w:szCs w:val="20"/>
              </w:rPr>
            </w:pPr>
            <w:r>
              <w:rPr>
                <w:rFonts w:eastAsia="Times New Roman" w:cs="Times New Roman" w:ascii="Times New Roman" w:hAnsi="Times New Roman"/>
                <w:b/>
                <w:bCs/>
                <w:color w:val="auto"/>
                <w:sz w:val="20"/>
                <w:szCs w:val="20"/>
                <w:lang w:val="pt-BR" w:eastAsia="zh-CN" w:bidi="hi-IN"/>
              </w:rPr>
              <w:t>TABELA DE TEMPORALIDADE DE DOCUMENTOS DE ARQUIVO DO ESTADO DE SANTA CATARINA – Atividade Fim</w:t>
            </w:r>
          </w:p>
          <w:p>
            <w:pPr>
              <w:pStyle w:val="normal1"/>
              <w:spacing w:lineRule="auto" w:line="240" w:before="0" w:after="0"/>
              <w:ind w:hanging="0"/>
              <w:jc w:val="center"/>
              <w:rPr>
                <w:sz w:val="20"/>
                <w:szCs w:val="20"/>
              </w:rPr>
            </w:pPr>
            <w:r>
              <w:rPr>
                <w:rFonts w:eastAsia="Times New Roman" w:cs="Times New Roman" w:ascii="Times New Roman" w:hAnsi="Times New Roman"/>
                <w:b w:val="false"/>
                <w:bCs w:val="false"/>
                <w:color w:val="auto"/>
                <w:sz w:val="20"/>
                <w:szCs w:val="20"/>
                <w:lang w:val="pt-BR" w:eastAsia="zh-CN" w:bidi="hi-IN"/>
              </w:rPr>
              <w:t>(DOE/SC Nº 18.916, Pág. 23, Publicação 23/08/2010)</w:t>
            </w:r>
          </w:p>
          <w:p>
            <w:pPr>
              <w:pStyle w:val="normal1"/>
              <w:spacing w:lineRule="auto" w:line="240" w:before="0" w:after="0"/>
              <w:ind w:hanging="0"/>
              <w:jc w:val="both"/>
              <w:rPr>
                <w:rFonts w:ascii="Times New Roman" w:hAnsi="Times New Roman" w:eastAsia="Times New Roman" w:cs="Times New Roman"/>
                <w:b w:val="false"/>
                <w:bCs w:val="false"/>
                <w:color w:val="auto"/>
                <w:sz w:val="20"/>
                <w:szCs w:val="20"/>
                <w:lang w:val="pt-BR" w:eastAsia="zh-CN" w:bidi="hi-IN"/>
              </w:rPr>
            </w:pPr>
            <w:r>
              <w:rPr>
                <w:rFonts w:eastAsia="Times New Roman" w:cs="Times New Roman" w:ascii="Times New Roman" w:hAnsi="Times New Roman"/>
                <w:b w:val="false"/>
                <w:bCs w:val="false"/>
                <w:color w:val="auto"/>
                <w:sz w:val="20"/>
                <w:szCs w:val="20"/>
                <w:lang w:val="pt-BR" w:eastAsia="zh-CN" w:bidi="hi-IN"/>
              </w:rPr>
            </w:r>
          </w:p>
          <w:p>
            <w:pPr>
              <w:pStyle w:val="normal1"/>
              <w:spacing w:lineRule="auto" w:line="240"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Órgão Responsável:</w:t>
              <w:tab/>
            </w:r>
            <w:r>
              <w:rPr>
                <w:rFonts w:eastAsia="Times New Roman" w:cs="Times New Roman" w:ascii="Times New Roman" w:hAnsi="Times New Roman"/>
                <w:b/>
                <w:bCs/>
                <w:color w:val="auto"/>
                <w:sz w:val="20"/>
                <w:szCs w:val="20"/>
                <w:lang w:val="pt-BR" w:eastAsia="zh-CN" w:bidi="hi-IN"/>
              </w:rPr>
              <w:t>CBMSC – Corpo de Bombeiros Militar de Santa Catarina</w:t>
            </w:r>
          </w:p>
          <w:p>
            <w:pPr>
              <w:pStyle w:val="normal1"/>
              <w:spacing w:lineRule="auto" w:line="240" w:before="0" w:after="0"/>
              <w:ind w:hanging="0"/>
              <w:jc w:val="both"/>
              <w:rPr>
                <w:rFonts w:ascii="Times New Roman" w:hAnsi="Times New Roman" w:eastAsia="Times New Roman" w:cs="Times New Roman"/>
                <w:b w:val="false"/>
                <w:bCs w:val="false"/>
                <w:color w:val="auto"/>
                <w:sz w:val="20"/>
                <w:szCs w:val="20"/>
                <w:lang w:val="pt-BR" w:eastAsia="zh-CN" w:bidi="hi-IN"/>
              </w:rPr>
            </w:pPr>
            <w:r>
              <w:rPr>
                <w:rFonts w:eastAsia="Times New Roman" w:cs="Times New Roman" w:ascii="Times New Roman" w:hAnsi="Times New Roman"/>
                <w:b w:val="false"/>
                <w:bCs w:val="false"/>
                <w:color w:val="auto"/>
                <w:sz w:val="20"/>
                <w:szCs w:val="20"/>
                <w:lang w:val="pt-BR" w:eastAsia="zh-CN" w:bidi="hi-IN"/>
              </w:rPr>
            </w:r>
          </w:p>
          <w:p>
            <w:pPr>
              <w:pStyle w:val="normal1"/>
              <w:spacing w:lineRule="auto" w:line="240"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Grupo Funcional:</w:t>
              <w:tab/>
              <w:t>06 – GESTÃO DE SERVIÇOS PÚBLICOS</w:t>
            </w:r>
          </w:p>
          <w:p>
            <w:pPr>
              <w:pStyle w:val="normal1"/>
              <w:spacing w:lineRule="auto" w:line="240"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Sub-Grupo:</w:t>
              <w:tab/>
              <w:t>03 – Segurança Pública</w:t>
            </w:r>
          </w:p>
          <w:p>
            <w:pPr>
              <w:pStyle w:val="normal1"/>
              <w:spacing w:lineRule="auto" w:line="240"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Função:</w:t>
              <w:tab/>
              <w:tab/>
              <w:t>06 – Corpo de Bombeiros Militar (Corpo de Bombeiros)</w:t>
            </w:r>
          </w:p>
          <w:tbl>
            <w:tblPr>
              <w:tblW w:w="5000" w:type="pct"/>
              <w:jc w:val="left"/>
              <w:tblInd w:w="0" w:type="dxa"/>
              <w:tblLayout w:type="fixed"/>
              <w:tblCellMar>
                <w:top w:w="0" w:type="dxa"/>
                <w:left w:w="5" w:type="dxa"/>
                <w:bottom w:w="0" w:type="dxa"/>
                <w:right w:w="0" w:type="dxa"/>
              </w:tblCellMar>
            </w:tblPr>
            <w:tblGrid>
              <w:gridCol w:w="1280"/>
              <w:gridCol w:w="1324"/>
              <w:gridCol w:w="1236"/>
              <w:gridCol w:w="1280"/>
              <w:gridCol w:w="0"/>
              <w:gridCol w:w="1280"/>
              <w:gridCol w:w="1086"/>
              <w:gridCol w:w="1474"/>
            </w:tblGrid>
            <w:tr>
              <w:trPr/>
              <w:tc>
                <w:tcPr>
                  <w:tcW w:w="1280" w:type="dxa"/>
                  <w:tcBorders>
                    <w:top w:val="single" w:sz="4" w:space="0" w:color="000000"/>
                    <w:left w:val="single" w:sz="4" w:space="0" w:color="000000"/>
                    <w:bottom w:val="single" w:sz="4" w:space="0" w:color="000000"/>
                  </w:tcBorders>
                </w:tcPr>
                <w:p>
                  <w:pPr>
                    <w:pStyle w:val="Contedodatabela"/>
                    <w:spacing w:lineRule="auto" w:line="240"/>
                    <w:jc w:val="center"/>
                    <w:rPr>
                      <w:sz w:val="20"/>
                      <w:szCs w:val="20"/>
                    </w:rPr>
                  </w:pPr>
                  <w:r>
                    <w:rPr>
                      <w:b/>
                      <w:bCs/>
                      <w:i/>
                      <w:iCs/>
                      <w:sz w:val="20"/>
                      <w:szCs w:val="20"/>
                      <w:lang w:val="pt-BR"/>
                    </w:rPr>
                    <w:t>ATIVIDADE</w:t>
                  </w:r>
                </w:p>
              </w:tc>
              <w:tc>
                <w:tcPr>
                  <w:tcW w:w="1324" w:type="dxa"/>
                  <w:tcBorders>
                    <w:top w:val="single" w:sz="4" w:space="0" w:color="000000"/>
                    <w:left w:val="single" w:sz="4" w:space="0" w:color="000000"/>
                    <w:bottom w:val="single" w:sz="4" w:space="0" w:color="000000"/>
                  </w:tcBorders>
                </w:tcPr>
                <w:p>
                  <w:pPr>
                    <w:pStyle w:val="Contedodatabela"/>
                    <w:spacing w:lineRule="auto" w:line="240"/>
                    <w:jc w:val="center"/>
                    <w:rPr>
                      <w:sz w:val="20"/>
                      <w:szCs w:val="20"/>
                    </w:rPr>
                  </w:pPr>
                  <w:r>
                    <w:rPr>
                      <w:b/>
                      <w:bCs/>
                      <w:i/>
                      <w:iCs/>
                      <w:sz w:val="20"/>
                      <w:szCs w:val="20"/>
                      <w:lang w:val="pt-BR"/>
                    </w:rPr>
                    <w:t>DOCUMENTO</w:t>
                  </w:r>
                </w:p>
              </w:tc>
              <w:tc>
                <w:tcPr>
                  <w:tcW w:w="2516" w:type="dxa"/>
                  <w:gridSpan w:val="2"/>
                  <w:tcBorders>
                    <w:top w:val="single" w:sz="4" w:space="0" w:color="000000"/>
                    <w:left w:val="single" w:sz="4" w:space="0" w:color="000000"/>
                    <w:bottom w:val="single" w:sz="4" w:space="0" w:color="000000"/>
                  </w:tcBorders>
                </w:tcPr>
                <w:p>
                  <w:pPr>
                    <w:pStyle w:val="Contedodatabela"/>
                    <w:spacing w:lineRule="auto" w:line="240"/>
                    <w:jc w:val="center"/>
                    <w:rPr>
                      <w:sz w:val="20"/>
                      <w:szCs w:val="20"/>
                    </w:rPr>
                  </w:pPr>
                  <w:r>
                    <w:rPr>
                      <w:b/>
                      <w:bCs/>
                      <w:i/>
                      <w:iCs/>
                      <w:sz w:val="20"/>
                      <w:szCs w:val="20"/>
                      <w:lang w:val="pt-BR"/>
                    </w:rPr>
                    <w:t>PRAZO DE GUARDA</w:t>
                  </w:r>
                </w:p>
              </w:tc>
              <w:tc>
                <w:tcPr>
                  <w:tcW w:w="2366" w:type="dxa"/>
                  <w:gridSpan w:val="3"/>
                  <w:tcBorders>
                    <w:top w:val="single" w:sz="4" w:space="0" w:color="000000"/>
                    <w:left w:val="single" w:sz="4" w:space="0" w:color="000000"/>
                    <w:bottom w:val="single" w:sz="4" w:space="0" w:color="000000"/>
                  </w:tcBorders>
                </w:tcPr>
                <w:p>
                  <w:pPr>
                    <w:pStyle w:val="Contedodatabela"/>
                    <w:spacing w:lineRule="auto" w:line="240"/>
                    <w:jc w:val="center"/>
                    <w:rPr>
                      <w:sz w:val="20"/>
                      <w:szCs w:val="20"/>
                    </w:rPr>
                  </w:pPr>
                  <w:r>
                    <w:rPr>
                      <w:b/>
                      <w:bCs/>
                      <w:i/>
                      <w:iCs/>
                      <w:sz w:val="20"/>
                      <w:szCs w:val="20"/>
                      <w:lang w:val="pt-BR"/>
                    </w:rPr>
                    <w:t>DESTINAÇÃO</w:t>
                  </w:r>
                </w:p>
              </w:tc>
              <w:tc>
                <w:tcPr>
                  <w:tcW w:w="1474" w:type="dxa"/>
                  <w:tcBorders>
                    <w:top w:val="single" w:sz="4" w:space="0" w:color="000000"/>
                    <w:left w:val="single" w:sz="4" w:space="0" w:color="000000"/>
                    <w:bottom w:val="single" w:sz="4" w:space="0" w:color="000000"/>
                    <w:right w:val="single" w:sz="4" w:space="0" w:color="000000"/>
                  </w:tcBorders>
                </w:tcPr>
                <w:p>
                  <w:pPr>
                    <w:pStyle w:val="Contedodatabela"/>
                    <w:spacing w:lineRule="auto" w:line="240"/>
                    <w:jc w:val="center"/>
                    <w:rPr>
                      <w:sz w:val="20"/>
                      <w:szCs w:val="20"/>
                    </w:rPr>
                  </w:pPr>
                  <w:r>
                    <w:rPr>
                      <w:b/>
                      <w:bCs/>
                      <w:i/>
                      <w:iCs/>
                      <w:sz w:val="20"/>
                      <w:szCs w:val="20"/>
                      <w:lang w:val="pt-BR"/>
                    </w:rPr>
                    <w:t>OBSERVAÇÕES</w:t>
                  </w:r>
                </w:p>
              </w:tc>
            </w:tr>
            <w:tr>
              <w:trPr/>
              <w:tc>
                <w:tcPr>
                  <w:tcW w:w="1280" w:type="dxa"/>
                  <w:tcBorders>
                    <w:left w:val="single" w:sz="4" w:space="0" w:color="000000"/>
                    <w:bottom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c>
                <w:tcPr>
                  <w:tcW w:w="1324" w:type="dxa"/>
                  <w:tcBorders>
                    <w:left w:val="single" w:sz="4" w:space="0" w:color="000000"/>
                    <w:bottom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c>
                <w:tcPr>
                  <w:tcW w:w="1236" w:type="dxa"/>
                  <w:tcBorders>
                    <w:left w:val="single" w:sz="4" w:space="0" w:color="000000"/>
                    <w:bottom w:val="single" w:sz="4" w:space="0" w:color="000000"/>
                  </w:tcBorders>
                </w:tcPr>
                <w:p>
                  <w:pPr>
                    <w:pStyle w:val="Contedodatabela"/>
                    <w:spacing w:lineRule="auto" w:line="240"/>
                    <w:jc w:val="center"/>
                    <w:rPr>
                      <w:sz w:val="20"/>
                      <w:szCs w:val="20"/>
                    </w:rPr>
                  </w:pPr>
                  <w:r>
                    <w:rPr>
                      <w:i/>
                      <w:iCs/>
                      <w:sz w:val="20"/>
                      <w:szCs w:val="20"/>
                      <w:lang w:val="pt-BR" w:eastAsia="zh-CN" w:bidi="hi-IN"/>
                    </w:rPr>
                    <w:t>Arquivo</w:t>
                  </w:r>
                </w:p>
                <w:p>
                  <w:pPr>
                    <w:pStyle w:val="Contedodatabela"/>
                    <w:spacing w:lineRule="auto" w:line="240"/>
                    <w:jc w:val="center"/>
                    <w:rPr>
                      <w:sz w:val="20"/>
                      <w:szCs w:val="20"/>
                    </w:rPr>
                  </w:pPr>
                  <w:r>
                    <w:rPr>
                      <w:i/>
                      <w:iCs/>
                      <w:sz w:val="20"/>
                      <w:szCs w:val="20"/>
                      <w:lang w:val="pt-BR" w:eastAsia="zh-CN" w:bidi="hi-IN"/>
                    </w:rPr>
                    <w:t>Corrente</w:t>
                  </w:r>
                </w:p>
                <w:p>
                  <w:pPr>
                    <w:pStyle w:val="Contedodatabela"/>
                    <w:spacing w:lineRule="auto" w:line="240"/>
                    <w:jc w:val="center"/>
                    <w:rPr>
                      <w:sz w:val="20"/>
                      <w:szCs w:val="20"/>
                    </w:rPr>
                  </w:pPr>
                  <w:r>
                    <w:rPr>
                      <w:i/>
                      <w:iCs/>
                      <w:sz w:val="20"/>
                      <w:szCs w:val="20"/>
                      <w:lang w:val="pt-BR" w:eastAsia="zh-CN" w:bidi="hi-IN"/>
                    </w:rPr>
                    <w:t>(em período ou anos)</w:t>
                  </w:r>
                </w:p>
              </w:tc>
              <w:tc>
                <w:tcPr>
                  <w:tcW w:w="1280" w:type="dxa"/>
                  <w:gridSpan w:val="2"/>
                  <w:tcBorders>
                    <w:left w:val="single" w:sz="4" w:space="0" w:color="000000"/>
                    <w:bottom w:val="single" w:sz="4" w:space="0" w:color="000000"/>
                  </w:tcBorders>
                </w:tcPr>
                <w:p>
                  <w:pPr>
                    <w:pStyle w:val="Contedodatabela"/>
                    <w:spacing w:lineRule="auto" w:line="240"/>
                    <w:jc w:val="center"/>
                    <w:rPr>
                      <w:sz w:val="20"/>
                      <w:szCs w:val="20"/>
                    </w:rPr>
                  </w:pPr>
                  <w:r>
                    <w:rPr>
                      <w:i/>
                      <w:iCs/>
                      <w:sz w:val="20"/>
                      <w:szCs w:val="20"/>
                      <w:lang w:val="pt-BR" w:eastAsia="zh-CN" w:bidi="hi-IN"/>
                    </w:rPr>
                    <w:t>Arquivo</w:t>
                  </w:r>
                </w:p>
                <w:p>
                  <w:pPr>
                    <w:pStyle w:val="Contedodatabela"/>
                    <w:spacing w:lineRule="auto" w:line="240"/>
                    <w:jc w:val="center"/>
                    <w:rPr>
                      <w:sz w:val="20"/>
                      <w:szCs w:val="20"/>
                    </w:rPr>
                  </w:pPr>
                  <w:r>
                    <w:rPr>
                      <w:i/>
                      <w:iCs/>
                      <w:sz w:val="20"/>
                      <w:szCs w:val="20"/>
                      <w:lang w:val="pt-BR" w:eastAsia="zh-CN" w:bidi="hi-IN"/>
                    </w:rPr>
                    <w:t>Intermediário / Central</w:t>
                  </w:r>
                </w:p>
                <w:p>
                  <w:pPr>
                    <w:pStyle w:val="Contedodatabela"/>
                    <w:spacing w:lineRule="auto" w:line="240"/>
                    <w:jc w:val="center"/>
                    <w:rPr>
                      <w:sz w:val="20"/>
                      <w:szCs w:val="20"/>
                    </w:rPr>
                  </w:pPr>
                  <w:r>
                    <w:rPr>
                      <w:i/>
                      <w:iCs/>
                      <w:sz w:val="20"/>
                      <w:szCs w:val="20"/>
                      <w:lang w:val="pt-BR" w:eastAsia="zh-CN" w:bidi="hi-IN"/>
                    </w:rPr>
                    <w:t>(em anos)</w:t>
                  </w:r>
                </w:p>
              </w:tc>
              <w:tc>
                <w:tcPr>
                  <w:tcW w:w="1280" w:type="dxa"/>
                  <w:tcBorders>
                    <w:left w:val="single" w:sz="4" w:space="0" w:color="000000"/>
                    <w:bottom w:val="single" w:sz="4" w:space="0" w:color="000000"/>
                  </w:tcBorders>
                </w:tcPr>
                <w:p>
                  <w:pPr>
                    <w:pStyle w:val="Contedodatabela"/>
                    <w:spacing w:lineRule="auto" w:line="240"/>
                    <w:jc w:val="center"/>
                    <w:rPr>
                      <w:sz w:val="20"/>
                      <w:szCs w:val="20"/>
                    </w:rPr>
                  </w:pPr>
                  <w:r>
                    <w:rPr>
                      <w:i/>
                      <w:iCs/>
                      <w:sz w:val="20"/>
                      <w:szCs w:val="20"/>
                      <w:lang w:val="pt-BR" w:eastAsia="zh-CN" w:bidi="hi-IN"/>
                    </w:rPr>
                    <w:t>Eliminação</w:t>
                  </w:r>
                </w:p>
              </w:tc>
              <w:tc>
                <w:tcPr>
                  <w:tcW w:w="1086" w:type="dxa"/>
                  <w:tcBorders>
                    <w:left w:val="single" w:sz="4" w:space="0" w:color="000000"/>
                    <w:bottom w:val="single" w:sz="4" w:space="0" w:color="000000"/>
                  </w:tcBorders>
                </w:tcPr>
                <w:p>
                  <w:pPr>
                    <w:pStyle w:val="Contedodatabela"/>
                    <w:spacing w:lineRule="auto" w:line="240"/>
                    <w:jc w:val="center"/>
                    <w:rPr>
                      <w:sz w:val="20"/>
                      <w:szCs w:val="20"/>
                    </w:rPr>
                  </w:pPr>
                  <w:r>
                    <w:rPr>
                      <w:i/>
                      <w:iCs/>
                      <w:sz w:val="20"/>
                      <w:szCs w:val="20"/>
                      <w:lang w:val="pt-BR" w:eastAsia="zh-CN" w:bidi="hi-IN"/>
                    </w:rPr>
                    <w:t>Guarda Permanente</w:t>
                  </w:r>
                </w:p>
              </w:tc>
              <w:tc>
                <w:tcPr>
                  <w:tcW w:w="1474" w:type="dxa"/>
                  <w:tcBorders>
                    <w:left w:val="single" w:sz="4" w:space="0" w:color="000000"/>
                    <w:bottom w:val="single" w:sz="4" w:space="0" w:color="000000"/>
                    <w:right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r>
            <w:tr>
              <w:trPr/>
              <w:tc>
                <w:tcPr>
                  <w:tcW w:w="1280" w:type="dxa"/>
                  <w:vMerge w:val="restart"/>
                  <w:tcBorders>
                    <w:left w:val="single" w:sz="4" w:space="0" w:color="000000"/>
                    <w:bottom w:val="single" w:sz="4" w:space="0" w:color="000000"/>
                  </w:tcBorders>
                  <w:vAlign w:val="center"/>
                </w:tcPr>
                <w:p>
                  <w:pPr>
                    <w:pStyle w:val="Contedodatabela"/>
                    <w:spacing w:lineRule="auto" w:line="240"/>
                    <w:rPr>
                      <w:sz w:val="20"/>
                      <w:szCs w:val="20"/>
                    </w:rPr>
                  </w:pPr>
                  <w:r>
                    <w:rPr>
                      <w:sz w:val="20"/>
                      <w:szCs w:val="20"/>
                      <w:lang w:val="pt-BR" w:eastAsia="zh-CN" w:bidi="hi-IN"/>
                    </w:rPr>
                    <w:t>06.03.06.01.01 – Combate a Incêndio e outros Sinistros</w:t>
                  </w:r>
                </w:p>
              </w:tc>
              <w:tc>
                <w:tcPr>
                  <w:tcW w:w="1324"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001 – Boletim de Ocorrência sobre Combate a Incêndio e outros Sinistros</w:t>
                  </w:r>
                </w:p>
              </w:tc>
              <w:tc>
                <w:tcPr>
                  <w:tcW w:w="123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5</w:t>
                  </w:r>
                </w:p>
              </w:tc>
              <w:tc>
                <w:tcPr>
                  <w:tcW w:w="1280" w:type="dxa"/>
                  <w:gridSpan w:val="2"/>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10</w:t>
                  </w:r>
                </w:p>
              </w:tc>
              <w:tc>
                <w:tcPr>
                  <w:tcW w:w="1280" w:type="dxa"/>
                  <w:tcBorders>
                    <w:left w:val="single" w:sz="4" w:space="0" w:color="000000"/>
                    <w:bottom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c>
                <w:tcPr>
                  <w:tcW w:w="108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x</w:t>
                  </w:r>
                </w:p>
              </w:tc>
              <w:tc>
                <w:tcPr>
                  <w:tcW w:w="1474" w:type="dxa"/>
                  <w:tcBorders>
                    <w:left w:val="single" w:sz="4" w:space="0" w:color="000000"/>
                    <w:bottom w:val="single" w:sz="4" w:space="0" w:color="000000"/>
                    <w:right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r>
            <w:tr>
              <w:trPr/>
              <w:tc>
                <w:tcPr>
                  <w:tcW w:w="1280" w:type="dxa"/>
                  <w:vMerge w:val="continue"/>
                  <w:tcBorders>
                    <w:left w:val="single" w:sz="4" w:space="0" w:color="000000"/>
                    <w:bottom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c>
                <w:tcPr>
                  <w:tcW w:w="1324"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002 – Certidão de Ocorrência sobre Combate a Incêndio e outros Sinistros</w:t>
                  </w:r>
                </w:p>
              </w:tc>
              <w:tc>
                <w:tcPr>
                  <w:tcW w:w="123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5</w:t>
                  </w:r>
                </w:p>
              </w:tc>
              <w:tc>
                <w:tcPr>
                  <w:tcW w:w="1280" w:type="dxa"/>
                  <w:gridSpan w:val="2"/>
                  <w:tcBorders>
                    <w:left w:val="single" w:sz="4" w:space="0" w:color="000000"/>
                    <w:bottom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c>
                <w:tcPr>
                  <w:tcW w:w="1280"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x</w:t>
                  </w:r>
                </w:p>
              </w:tc>
              <w:tc>
                <w:tcPr>
                  <w:tcW w:w="1086" w:type="dxa"/>
                  <w:tcBorders>
                    <w:left w:val="single" w:sz="4" w:space="0" w:color="000000"/>
                    <w:bottom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c>
                <w:tcPr>
                  <w:tcW w:w="1474" w:type="dxa"/>
                  <w:tcBorders>
                    <w:left w:val="single" w:sz="4" w:space="0" w:color="000000"/>
                    <w:bottom w:val="single" w:sz="4" w:space="0" w:color="000000"/>
                    <w:right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r>
            <w:tr>
              <w:trPr/>
              <w:tc>
                <w:tcPr>
                  <w:tcW w:w="1280" w:type="dxa"/>
                  <w:vMerge w:val="continue"/>
                  <w:tcBorders>
                    <w:left w:val="single" w:sz="4" w:space="0" w:color="000000"/>
                    <w:bottom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c>
                <w:tcPr>
                  <w:tcW w:w="1324"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003 – Ficha de Acidente de Viatura em Combate a Incêndio e outros Sinistros</w:t>
                  </w:r>
                </w:p>
              </w:tc>
              <w:tc>
                <w:tcPr>
                  <w:tcW w:w="123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5</w:t>
                  </w:r>
                </w:p>
              </w:tc>
              <w:tc>
                <w:tcPr>
                  <w:tcW w:w="1280" w:type="dxa"/>
                  <w:gridSpan w:val="2"/>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10</w:t>
                  </w:r>
                </w:p>
              </w:tc>
              <w:tc>
                <w:tcPr>
                  <w:tcW w:w="1280"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x</w:t>
                  </w:r>
                </w:p>
              </w:tc>
              <w:tc>
                <w:tcPr>
                  <w:tcW w:w="1086" w:type="dxa"/>
                  <w:tcBorders>
                    <w:left w:val="single" w:sz="4" w:space="0" w:color="000000"/>
                    <w:bottom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c>
                <w:tcPr>
                  <w:tcW w:w="1474" w:type="dxa"/>
                  <w:tcBorders>
                    <w:left w:val="single" w:sz="4" w:space="0" w:color="000000"/>
                    <w:bottom w:val="single" w:sz="4" w:space="0" w:color="000000"/>
                    <w:right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r>
            <w:tr>
              <w:trPr>
                <w:trHeight w:val="680" w:hRule="atLeast"/>
              </w:trPr>
              <w:tc>
                <w:tcPr>
                  <w:tcW w:w="1280" w:type="dxa"/>
                  <w:vMerge w:val="continue"/>
                  <w:tcBorders>
                    <w:left w:val="single" w:sz="4" w:space="0" w:color="000000"/>
                    <w:bottom w:val="single" w:sz="4" w:space="0" w:color="000000"/>
                  </w:tcBorders>
                </w:tcPr>
                <w:p>
                  <w:pPr>
                    <w:pStyle w:val="Contedodatabela"/>
                    <w:spacing w:lineRule="auto" w:line="240"/>
                    <w:rPr>
                      <w:rFonts w:ascii="Times New Roman" w:hAnsi="Times New Roman"/>
                      <w:sz w:val="20"/>
                      <w:szCs w:val="20"/>
                      <w:lang w:val="pt-BR" w:eastAsia="zh-CN" w:bidi="hi-IN"/>
                    </w:rPr>
                  </w:pPr>
                  <w:r>
                    <w:rPr>
                      <w:sz w:val="20"/>
                      <w:szCs w:val="20"/>
                      <w:lang w:val="pt-BR" w:eastAsia="zh-CN" w:bidi="hi-IN"/>
                    </w:rPr>
                  </w:r>
                </w:p>
              </w:tc>
              <w:tc>
                <w:tcPr>
                  <w:tcW w:w="1324"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004 – Relatório Individual de Incêndio e outros Sinistros</w:t>
                  </w:r>
                </w:p>
              </w:tc>
              <w:tc>
                <w:tcPr>
                  <w:tcW w:w="123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5</w:t>
                  </w:r>
                </w:p>
              </w:tc>
              <w:tc>
                <w:tcPr>
                  <w:tcW w:w="1280" w:type="dxa"/>
                  <w:gridSpan w:val="2"/>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10</w:t>
                  </w:r>
                </w:p>
              </w:tc>
              <w:tc>
                <w:tcPr>
                  <w:tcW w:w="1280" w:type="dxa"/>
                  <w:tcBorders>
                    <w:left w:val="single" w:sz="4" w:space="0" w:color="000000"/>
                    <w:bottom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c>
                <w:tcPr>
                  <w:tcW w:w="1086" w:type="dxa"/>
                  <w:tcBorders>
                    <w:left w:val="single" w:sz="4" w:space="0" w:color="000000"/>
                    <w:bottom w:val="single" w:sz="4" w:space="0" w:color="000000"/>
                  </w:tcBorders>
                  <w:vAlign w:val="center"/>
                </w:tcPr>
                <w:p>
                  <w:pPr>
                    <w:pStyle w:val="Contedodatabela"/>
                    <w:spacing w:lineRule="auto" w:line="240"/>
                    <w:jc w:val="center"/>
                    <w:rPr>
                      <w:sz w:val="20"/>
                      <w:szCs w:val="20"/>
                    </w:rPr>
                  </w:pPr>
                  <w:r>
                    <w:rPr>
                      <w:sz w:val="20"/>
                      <w:szCs w:val="20"/>
                      <w:lang w:val="pt-BR" w:eastAsia="zh-CN" w:bidi="hi-IN"/>
                    </w:rPr>
                    <w:t>x</w:t>
                  </w:r>
                </w:p>
              </w:tc>
              <w:tc>
                <w:tcPr>
                  <w:tcW w:w="1474" w:type="dxa"/>
                  <w:tcBorders>
                    <w:left w:val="single" w:sz="4" w:space="0" w:color="000000"/>
                    <w:bottom w:val="single" w:sz="4" w:space="0" w:color="000000"/>
                    <w:right w:val="single" w:sz="4" w:space="0" w:color="000000"/>
                  </w:tcBorders>
                  <w:vAlign w:val="center"/>
                </w:tcPr>
                <w:p>
                  <w:pPr>
                    <w:pStyle w:val="Contedodatabela"/>
                    <w:spacing w:lineRule="auto" w:line="240"/>
                    <w:jc w:val="center"/>
                    <w:rPr>
                      <w:rFonts w:ascii="Times New Roman" w:hAnsi="Times New Roman"/>
                      <w:sz w:val="20"/>
                      <w:szCs w:val="20"/>
                      <w:lang w:val="pt-BR" w:eastAsia="zh-CN" w:bidi="hi-IN"/>
                    </w:rPr>
                  </w:pPr>
                  <w:r>
                    <w:rPr>
                      <w:sz w:val="20"/>
                      <w:szCs w:val="20"/>
                      <w:lang w:val="pt-BR" w:eastAsia="zh-CN" w:bidi="hi-IN"/>
                    </w:rPr>
                  </w:r>
                </w:p>
              </w:tc>
            </w:tr>
          </w:tbl>
          <w:p>
            <w:pPr>
              <w:pStyle w:val="normal1"/>
              <w:spacing w:lineRule="auto" w:line="240" w:before="0" w:after="0"/>
              <w:ind w:hanging="0"/>
              <w:jc w:val="center"/>
              <w:rPr>
                <w:rFonts w:ascii="Times New Roman" w:hAnsi="Times New Roman"/>
              </w:rPr>
            </w:pPr>
            <w:r>
              <w:rPr>
                <w:rFonts w:ascii="Times New Roman" w:hAnsi="Times New Roman"/>
              </w:rPr>
            </w:r>
          </w:p>
        </w:tc>
      </w:tr>
    </w:tbl>
    <w:p>
      <w:pPr>
        <w:pStyle w:val="normal1"/>
        <w:spacing w:lineRule="auto" w:line="240" w:before="0" w:after="0"/>
        <w:ind w:hanging="0"/>
        <w:jc w:val="both"/>
        <w:rPr>
          <w:rFonts w:ascii="Times New Roman" w:hAnsi="Times New Roman"/>
        </w:rPr>
      </w:pPr>
      <w:r>
        <w:rPr>
          <w:rFonts w:eastAsia="Times New Roman" w:cs="Times New Roman" w:ascii="Times New Roman" w:hAnsi="Times New Roman"/>
          <w:b w:val="false"/>
          <w:bCs w:val="false"/>
          <w:color w:val="auto"/>
          <w:sz w:val="20"/>
          <w:szCs w:val="20"/>
          <w:lang w:val="pt-BR" w:eastAsia="zh-CN" w:bidi="hi-IN"/>
        </w:rPr>
        <w:t>Fonte: Diário Oficial de Santa Catarina, nº 18.916 (2010).</w:t>
      </w:r>
    </w:p>
    <w:p>
      <w:pPr>
        <w:pStyle w:val="normal1"/>
        <w:spacing w:lineRule="auto" w:line="240" w:before="0" w:after="0"/>
        <w:ind w:firstLine="850"/>
        <w:jc w:val="both"/>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b w:val="false"/>
          <w:bCs w:val="false"/>
          <w:color w:val="auto"/>
          <w:sz w:val="24"/>
          <w:szCs w:val="24"/>
          <w:lang w:val="pt-BR" w:eastAsia="zh-CN" w:bidi="hi-IN"/>
        </w:rPr>
        <w:t>4.2 ATUALIZAÇÃO DA TABELA DE TEMPORALIDADE E DESTINAÇÃO DE DOCUMENTOS.</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sz w:val="24"/>
          <w:szCs w:val="24"/>
          <w:lang w:val="pt-BR" w:eastAsia="zh-CN" w:bidi="hi-IN"/>
        </w:rPr>
        <w:t>Para a atualização da tabela de temporalidade em vigor, de acordo com a metodologia proposta por Rodrigues e Mello (2014), Bernardes (1998) e a GEDOC (2024) e as normas e legislação vigentes para o Estado de Santa Catarina, passa-se a apresentar os seguintes passos indicados no quadro 5.</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Tanto Bernardes (1998) quanto o roll de orientações da GEDOC (2024), apresentam 7 passos para a atualização do PCD e da TTDD, além de que os passos 7 e 8, são detalhadamente descritos na IN nº 4/2025.</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Desta forma, com estas orientações detalhadas, tem-se a intenção de se seguir as orientações sugeridas por autores que tratam da avaliação de documentos, sem deixar de lado as informações atualizadas acerca das necessidades do órgão e das orientações do órgão normativo de gestão documental do Poder Executivo do Estado.</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widowControl/>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bCs/>
          <w:sz w:val="24"/>
          <w:szCs w:val="24"/>
          <w:lang w:val="pt-BR" w:eastAsia="zh-CN" w:bidi="hi-IN"/>
        </w:rPr>
        <w:t>Quadro 5</w:t>
      </w:r>
      <w:r>
        <w:rPr>
          <w:rFonts w:eastAsia="Times New Roman" w:cs="Times New Roman" w:ascii="Times New Roman" w:hAnsi="Times New Roman"/>
          <w:sz w:val="24"/>
          <w:szCs w:val="24"/>
          <w:lang w:val="pt-BR" w:eastAsia="zh-CN" w:bidi="hi-IN"/>
        </w:rPr>
        <w:t xml:space="preserve"> – Sequência para Atualização da TTDD</w:t>
      </w:r>
    </w:p>
    <w:tbl>
      <w:tblPr>
        <w:tblW w:w="9075" w:type="dxa"/>
        <w:jc w:val="left"/>
        <w:tblInd w:w="55" w:type="dxa"/>
        <w:tblLayout w:type="fixed"/>
        <w:tblCellMar>
          <w:top w:w="55" w:type="dxa"/>
          <w:left w:w="55" w:type="dxa"/>
          <w:bottom w:w="55" w:type="dxa"/>
          <w:right w:w="55" w:type="dxa"/>
        </w:tblCellMar>
      </w:tblPr>
      <w:tblGrid>
        <w:gridCol w:w="1020"/>
        <w:gridCol w:w="6259"/>
        <w:gridCol w:w="1796"/>
      </w:tblGrid>
      <w:tr>
        <w:trPr/>
        <w:tc>
          <w:tcPr>
            <w:tcW w:w="1020" w:type="dxa"/>
            <w:tcBorders>
              <w:top w:val="single" w:sz="4" w:space="0" w:color="000000"/>
              <w:left w:val="single" w:sz="4" w:space="0" w:color="000000"/>
              <w:bottom w:val="single" w:sz="4" w:space="0" w:color="000000"/>
            </w:tcBorders>
          </w:tcPr>
          <w:p>
            <w:pPr>
              <w:pStyle w:val="Contedodatabela"/>
              <w:spacing w:lineRule="auto" w:line="240"/>
              <w:rPr>
                <w:sz w:val="20"/>
                <w:szCs w:val="20"/>
              </w:rPr>
            </w:pPr>
            <w:r>
              <w:rPr>
                <w:b/>
                <w:bCs/>
                <w:sz w:val="20"/>
                <w:szCs w:val="20"/>
                <w:lang w:val="pt-BR" w:eastAsia="zh-CN" w:bidi="hi-IN"/>
              </w:rPr>
              <w:t>Sequência</w:t>
            </w:r>
          </w:p>
        </w:tc>
        <w:tc>
          <w:tcPr>
            <w:tcW w:w="6259" w:type="dxa"/>
            <w:tcBorders>
              <w:top w:val="single" w:sz="4" w:space="0" w:color="000000"/>
              <w:left w:val="single" w:sz="4" w:space="0" w:color="000000"/>
              <w:bottom w:val="single" w:sz="4" w:space="0" w:color="000000"/>
            </w:tcBorders>
          </w:tcPr>
          <w:p>
            <w:pPr>
              <w:pStyle w:val="Contedodatabela"/>
              <w:spacing w:lineRule="auto" w:line="240"/>
              <w:rPr>
                <w:sz w:val="20"/>
                <w:szCs w:val="20"/>
              </w:rPr>
            </w:pPr>
            <w:r>
              <w:rPr>
                <w:b/>
                <w:bCs/>
                <w:sz w:val="20"/>
                <w:szCs w:val="20"/>
                <w:lang w:val="pt-BR" w:eastAsia="zh-CN" w:bidi="hi-IN"/>
              </w:rPr>
              <w:t>Descrição</w:t>
            </w:r>
          </w:p>
        </w:tc>
        <w:tc>
          <w:tcPr>
            <w:tcW w:w="1796" w:type="dxa"/>
            <w:tcBorders>
              <w:top w:val="single" w:sz="4" w:space="0" w:color="000000"/>
              <w:left w:val="single" w:sz="4" w:space="0" w:color="000000"/>
              <w:bottom w:val="single" w:sz="4" w:space="0" w:color="000000"/>
              <w:right w:val="single" w:sz="4" w:space="0" w:color="000000"/>
            </w:tcBorders>
          </w:tcPr>
          <w:p>
            <w:pPr>
              <w:pStyle w:val="Contedodatabela"/>
              <w:spacing w:lineRule="auto" w:line="240"/>
              <w:rPr>
                <w:sz w:val="20"/>
                <w:szCs w:val="20"/>
              </w:rPr>
            </w:pPr>
            <w:r>
              <w:rPr>
                <w:b/>
                <w:bCs/>
                <w:sz w:val="20"/>
                <w:szCs w:val="20"/>
                <w:lang w:val="pt-BR" w:eastAsia="zh-CN" w:bidi="hi-IN"/>
              </w:rPr>
              <w:t>Base</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1</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Constituição / atualização da Comissão Permanente de Avaliação de Documentos – CPAD (Bernardes, 1998)</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IN nº 8/2024</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2</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Levantamento da legislação e normativas que definem os procedimentos de avaliação de documentos; (Bernardes, 1998)</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Vide Quadro 4</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3</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Estudo da estrutura administrativa do órgão, que organiza e regulamenta o funcionamento do órgão (pelo organograma e na prática atual); (Bernardes, 1998; GEDOC, 2024; Rodrigues e Mello, 2014)</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Dec. 1328/2021 -RLOB;</w:t>
            </w:r>
          </w:p>
          <w:p>
            <w:pPr>
              <w:pStyle w:val="Contedodatabela"/>
              <w:spacing w:lineRule="auto" w:line="240"/>
              <w:rPr>
                <w:sz w:val="20"/>
                <w:szCs w:val="20"/>
              </w:rPr>
            </w:pPr>
            <w:r>
              <w:rPr>
                <w:sz w:val="20"/>
                <w:szCs w:val="20"/>
                <w:lang w:val="pt-BR" w:eastAsia="zh-CN" w:bidi="hi-IN"/>
              </w:rPr>
              <w:t>Organograma atualizado;</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4</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Levantamento da produção documental, identificação de séries documentais geradas no exercício de suas competências e atividades. (Bernardes, 1998; Rodrigues e Mello, 2014)</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Art. 7º IN nº 7/2025</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5</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Levantamento do fluxo dos documentos: origem, pontos de tramitação e encerramento do trâmite (Bernardes, 1998)</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Figura 4</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6</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Identificação dos valores documentais de acordo com a sua idade: imediato guarda temporária, imediato guarda permanente e mediato evidente guarda permanente.</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Lei 9747/1994</w:t>
            </w:r>
          </w:p>
          <w:p>
            <w:pPr>
              <w:pStyle w:val="Contedodatabela"/>
              <w:spacing w:lineRule="auto" w:line="240"/>
              <w:rPr>
                <w:sz w:val="20"/>
                <w:szCs w:val="20"/>
              </w:rPr>
            </w:pPr>
            <w:r>
              <w:rPr>
                <w:sz w:val="20"/>
                <w:szCs w:val="20"/>
                <w:lang w:val="pt-BR" w:eastAsia="zh-CN" w:bidi="hi-IN"/>
              </w:rPr>
              <w:t>IN nº 4/2025</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7</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Definição dos prazos de guarda em cada local de arquivamento (Bernardes, 1998)</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IN nº 4/2025</w:t>
            </w:r>
          </w:p>
        </w:tc>
      </w:tr>
      <w:tr>
        <w:trPr/>
        <w:tc>
          <w:tcPr>
            <w:tcW w:w="1020"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8</w:t>
            </w:r>
          </w:p>
        </w:tc>
        <w:tc>
          <w:tcPr>
            <w:tcW w:w="6259" w:type="dxa"/>
            <w:tcBorders>
              <w:left w:val="single" w:sz="4" w:space="0" w:color="000000"/>
              <w:bottom w:val="single" w:sz="4" w:space="0" w:color="000000"/>
            </w:tcBorders>
          </w:tcPr>
          <w:p>
            <w:pPr>
              <w:pStyle w:val="Contedodatabela"/>
              <w:spacing w:lineRule="auto" w:line="240"/>
              <w:rPr>
                <w:sz w:val="20"/>
                <w:szCs w:val="20"/>
              </w:rPr>
            </w:pPr>
            <w:r>
              <w:rPr>
                <w:sz w:val="20"/>
                <w:szCs w:val="20"/>
                <w:lang w:val="pt-BR" w:eastAsia="zh-CN" w:bidi="hi-IN"/>
              </w:rPr>
              <w:t>Submeter a minuta da atualização do PCD e da TTDD à GEDOC, conforme disposto em IN;</w:t>
            </w:r>
          </w:p>
        </w:tc>
        <w:tc>
          <w:tcPr>
            <w:tcW w:w="1796" w:type="dxa"/>
            <w:tcBorders>
              <w:left w:val="single" w:sz="4" w:space="0" w:color="000000"/>
              <w:bottom w:val="single" w:sz="4" w:space="0" w:color="000000"/>
              <w:right w:val="single" w:sz="4" w:space="0" w:color="000000"/>
            </w:tcBorders>
          </w:tcPr>
          <w:p>
            <w:pPr>
              <w:pStyle w:val="Contedodatabela"/>
              <w:spacing w:lineRule="auto" w:line="240"/>
              <w:rPr>
                <w:sz w:val="20"/>
                <w:szCs w:val="20"/>
              </w:rPr>
            </w:pPr>
            <w:r>
              <w:rPr>
                <w:sz w:val="20"/>
                <w:szCs w:val="20"/>
                <w:lang w:val="pt-BR" w:eastAsia="zh-CN" w:bidi="hi-IN"/>
              </w:rPr>
              <w:t>IN nº 4/2025</w:t>
            </w:r>
          </w:p>
        </w:tc>
      </w:tr>
    </w:tbl>
    <w:p>
      <w:pPr>
        <w:pStyle w:val="normal1"/>
        <w:widowControl/>
        <w:suppressAutoHyphens w:val="true"/>
        <w:bidi w:val="0"/>
        <w:spacing w:lineRule="auto" w:line="240" w:before="0" w:after="0"/>
        <w:ind w:hanging="0" w:left="0" w:right="0"/>
        <w:jc w:val="both"/>
        <w:rPr>
          <w:rFonts w:ascii="Times New Roman" w:hAnsi="Times New Roman"/>
        </w:rPr>
      </w:pPr>
      <w:r>
        <w:rPr>
          <w:rFonts w:eastAsia="Times New Roman" w:cs="Times New Roman" w:ascii="Times New Roman" w:hAnsi="Times New Roman"/>
          <w:b w:val="false"/>
          <w:bCs w:val="false"/>
          <w:sz w:val="20"/>
          <w:szCs w:val="20"/>
          <w:lang w:val="pt-BR" w:eastAsia="zh-CN" w:bidi="hi-IN"/>
        </w:rPr>
        <w:t xml:space="preserve">Fonte: </w:t>
      </w:r>
      <w:r>
        <w:rPr>
          <w:rFonts w:eastAsia="Times New Roman" w:cs="Times New Roman" w:ascii="Times New Roman" w:hAnsi="Times New Roman"/>
          <w:sz w:val="20"/>
          <w:szCs w:val="20"/>
          <w:lang w:val="pt-BR" w:eastAsia="zh-CN" w:bidi="hi-IN"/>
        </w:rPr>
        <w:t>Adaptado pelo autor, com base em Bernardes (1998) e GEDOC (2024).</w:t>
      </w:r>
    </w:p>
    <w:p>
      <w:pPr>
        <w:pStyle w:val="normal1"/>
        <w:widowControl/>
        <w:suppressAutoHyphens w:val="true"/>
        <w:bidi w:val="0"/>
        <w:spacing w:lineRule="auto" w:line="240" w:before="0" w:after="0"/>
        <w:ind w:firstLine="850" w:left="0" w:right="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 partir desta sequência de passos, propõem-se a a adequação e atualização da tabela de temporalidade da seguinte forma:</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O 1º passo refere-se à atualização da CPAD, que segue as orientações da Instrução Normativa nº 8/2024, onde trata de sua composição e atribuições destinadas, basicamente as mesmas orientações definidas por Bernardes (1998)</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O 2º passo trata-se do levantamento da legislação e normas vigentes que sobre os procedimentos de avaliação de documentos, ao qual encontra-se materializado no Quadro 4 desta pesquisa. Bernardes (1998) apresenta como a elaboração dessas normas, algo que no Estado de SC já se encontra disponível e em constante atualização pelos órgãos de gestão documental.</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O 3º passo destina-se ao estudo da estrutura administrativa do órgão, por meio do seu organograma e prática atual, isto porque em alguns casos, o organograma atual pode estar desatualizado devido a obsolescência de seu regimento frente a estrutura praticada, e neste ato, Rodrigues e Mello (2014,) trazem o estudo acerca da identificação do elemento orgânico no órgão produtor, assim como trazem uma proposta de se criar um organograma comparativo atual ao lado do organograma disponibilizado pelo órgão (Rodrigues; Mello, 2014).</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shd w:fill="auto" w:val="clear"/>
          <w:lang w:val="pt-BR" w:eastAsia="zh-CN" w:bidi="hi-IN"/>
        </w:rPr>
        <w:t>O 4º passo trata do levantamento da produção documental, identificando-se suas séries documentais, cuja descrição encontra-se prevista no Art. 7º da IN nº 7/2025.</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O 5º passo diz respeito ao levantamento do fluxo dos documentos, quanto ao seu trâmite no órgão. Esta atividade visa identificar o mapeamento dos processos, desde a sua criação até seu último trâmite. Este processo é importante na determinação dos prazos de vigência e precaucional, uma vez que o processos irá percorrer por setores afins para a compleição de seu objetivo inicial, sem que se interfira nos prazos preestabelecidos de guarda e destinação.</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Assim, um documento como o exemplo da Figura 4 a seguir, a Certidão de Ocorrência sobre Combate a Incêndios e outros Sinistros, que possui um prazo de permanência de 5 anos no arquivo corrente, não pode permanecer mais que este período em seu fluxo de tramitação.</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Este documento, conforme se apresenta, possui um período de no máximo uma semana até o seu trâmite final, uma vez que sua emissão ocorre logo em seguida à solicitação do interessado, ficando à disposição para o seu recebimento tão logo seja aberto o processo de solicitação.</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Desta forma, os demais documentos a serem analisados para determinação de seu prazo de guarda, necessitam apresentar um fluxo antes mesmo de definir-se seus prazos definitivamente.</w:t>
      </w:r>
    </w:p>
    <w:p>
      <w:pPr>
        <w:pStyle w:val="normal1"/>
        <w:widowControl/>
        <w:suppressAutoHyphens w:val="true"/>
        <w:bidi w:val="0"/>
        <w:spacing w:lineRule="auto" w:line="240" w:before="0" w:after="0"/>
        <w:ind w:hanging="0" w:left="0" w:right="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widowControl/>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bCs/>
          <w:sz w:val="24"/>
          <w:szCs w:val="24"/>
          <w:lang w:val="pt-BR" w:eastAsia="zh-CN" w:bidi="hi-IN"/>
        </w:rPr>
        <w:t xml:space="preserve">Figura 4 </w:t>
      </w:r>
      <w:r>
        <w:rPr>
          <w:rFonts w:eastAsia="Times New Roman" w:cs="Times New Roman" w:ascii="Times New Roman" w:hAnsi="Times New Roman"/>
          <w:sz w:val="24"/>
          <w:szCs w:val="24"/>
          <w:lang w:val="pt-BR" w:eastAsia="zh-CN" w:bidi="hi-IN"/>
        </w:rPr>
        <w:t>– Fluxo de documento (Certidão de Ocorrência sobre Combate a Incêndio e outros Sinistros)</w:t>
      </w:r>
    </w:p>
    <w:p>
      <w:pPr>
        <w:pStyle w:val="normal1"/>
        <w:widowControl/>
        <w:suppressAutoHyphens w:val="true"/>
        <w:bidi w:val="0"/>
        <w:spacing w:lineRule="auto" w:line="240" w:before="0" w:after="0"/>
        <w:ind w:hanging="0" w:left="0" w:right="0"/>
        <w:jc w:val="both"/>
        <w:rPr>
          <w:rFonts w:ascii="Times New Roman" w:hAnsi="Times New Roman"/>
        </w:rPr>
      </w:pPr>
      <w:r>
        <w:drawing>
          <wp:anchor behindDoc="0" distT="0" distB="0" distL="0" distR="0" simplePos="0" locked="0" layoutInCell="0" allowOverlap="1" relativeHeight="5">
            <wp:simplePos x="0" y="0"/>
            <wp:positionH relativeFrom="column">
              <wp:align>center</wp:align>
            </wp:positionH>
            <wp:positionV relativeFrom="paragraph">
              <wp:posOffset>635</wp:posOffset>
            </wp:positionV>
            <wp:extent cx="5760085" cy="3096260"/>
            <wp:effectExtent l="0" t="0" r="0" b="0"/>
            <wp:wrapSquare wrapText="largest"/>
            <wp:docPr id="2"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1" descr=""/>
                    <pic:cNvPicPr>
                      <a:picLocks noChangeAspect="1" noChangeArrowheads="1"/>
                    </pic:cNvPicPr>
                  </pic:nvPicPr>
                  <pic:blipFill>
                    <a:blip r:embed="rId3"/>
                    <a:stretch>
                      <a:fillRect/>
                    </a:stretch>
                  </pic:blipFill>
                  <pic:spPr bwMode="auto">
                    <a:xfrm>
                      <a:off x="0" y="0"/>
                      <a:ext cx="5760085" cy="3096260"/>
                    </a:xfrm>
                    <a:prstGeom prst="rect">
                      <a:avLst/>
                    </a:prstGeom>
                  </pic:spPr>
                </pic:pic>
              </a:graphicData>
            </a:graphic>
          </wp:anchor>
        </w:drawing>
      </w:r>
      <w:r>
        <w:rPr>
          <w:rFonts w:eastAsia="Times New Roman" w:cs="Times New Roman" w:ascii="Times New Roman" w:hAnsi="Times New Roman"/>
          <w:b w:val="false"/>
          <w:bCs w:val="false"/>
          <w:sz w:val="20"/>
          <w:szCs w:val="20"/>
          <w:lang w:val="pt-BR" w:eastAsia="zh-CN" w:bidi="hi-IN"/>
        </w:rPr>
        <w:t xml:space="preserve">Fonte: </w:t>
      </w:r>
      <w:r>
        <w:rPr>
          <w:rFonts w:eastAsia="Times New Roman" w:cs="Times New Roman" w:ascii="Times New Roman" w:hAnsi="Times New Roman"/>
          <w:sz w:val="20"/>
          <w:szCs w:val="20"/>
          <w:lang w:val="pt-BR" w:eastAsia="zh-CN" w:bidi="hi-IN"/>
        </w:rPr>
        <w:t>elaborado pelo autor (2025).</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Na sequência, o 7º passo decorre da definição dos prazos de guarda e destinação dos documentos, o que pode ser concebido por meio do formulário de elaboração da TTDD. Esse formulário, conforme disposto na IN nº 4/2025, detalha sobre o correto preenchimento de cada área específica, quais sejam:</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Grupo funcional;</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Subgrupo;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Função;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Subfunção;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Atividade;</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Data de construção/atualização da TTDD;</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Tipologia documental: Espécie + assunto;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Avaliação do documento, com base na Lei nº 9.747/1994;</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ab/>
        <w:t>- Arquivo corrente;</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ab/>
        <w:t>- Arquivo intermediário;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ab/>
        <w:t>- Destinação: eliminação ou guarda permanente;</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color w:val="auto"/>
          <w:sz w:val="24"/>
          <w:szCs w:val="24"/>
          <w:lang w:val="pt-BR" w:eastAsia="zh-CN" w:bidi="hi-IN"/>
        </w:rPr>
        <w:t>- Observação: Amparo legal que trate da existência do documento e sua destinação.</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t>Concomitante ao passo apresentado, o 7º passo prevê a definição de seus prazos de guarda temporária, com relação a vigência, prazo de precaução e prescrição, em razão de seus valores administrativos. (Bernardes, 1998).</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t>Esta definição decorre do levantamento da legislação acerca da função e atividade do setor produtor, com vistas a se chegar nas implicações legais e administrativas da permanência do documento em seu fluxo de tramitação e sua destinação a seguir. Uma eliminação precoce de um documento que por força de lei deveria permanecer por mais tempo disponível à consulta, poderia ensejar na responsabilização de seus gestores, com a penalização de seus infratores, e na decorrência de prejuízo financeiro à administração pública.</w:t>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widowControl/>
        <w:suppressAutoHyphens w:val="true"/>
        <w:bidi w:val="0"/>
        <w:spacing w:lineRule="auto" w:line="240" w:before="0" w:after="0"/>
        <w:ind w:hanging="0" w:left="0" w:right="0"/>
        <w:jc w:val="center"/>
        <w:rPr>
          <w:rFonts w:ascii="Times New Roman" w:hAnsi="Times New Roman"/>
        </w:rPr>
      </w:pPr>
      <w:r>
        <w:rPr>
          <w:rFonts w:eastAsia="Times New Roman" w:cs="Times New Roman" w:ascii="Times New Roman" w:hAnsi="Times New Roman"/>
          <w:b/>
          <w:bCs/>
          <w:sz w:val="24"/>
          <w:szCs w:val="24"/>
          <w:lang w:val="pt-BR" w:eastAsia="zh-CN" w:bidi="hi-IN"/>
        </w:rPr>
        <w:t>Figura 5</w:t>
      </w:r>
      <w:r>
        <w:rPr>
          <w:rFonts w:eastAsia="Times New Roman" w:cs="Times New Roman" w:ascii="Times New Roman" w:hAnsi="Times New Roman"/>
          <w:sz w:val="24"/>
          <w:szCs w:val="24"/>
          <w:lang w:val="pt-BR" w:eastAsia="zh-CN" w:bidi="hi-IN"/>
        </w:rPr>
        <w:t xml:space="preserve"> – Formulário de Avaliação de Documentos</w:t>
      </w:r>
    </w:p>
    <w:p>
      <w:pPr>
        <w:pStyle w:val="normal1"/>
        <w:spacing w:lineRule="auto" w:line="240"/>
        <w:ind w:hanging="0" w:left="0"/>
        <w:jc w:val="both"/>
        <w:rPr>
          <w:rFonts w:ascii="Times New Roman" w:hAnsi="Times New Roman"/>
        </w:rPr>
      </w:pPr>
      <w:r>
        <w:drawing>
          <wp:anchor behindDoc="0" distT="0" distB="0" distL="0" distR="0" simplePos="0" locked="0" layoutInCell="0" allowOverlap="1" relativeHeight="4">
            <wp:simplePos x="0" y="0"/>
            <wp:positionH relativeFrom="column">
              <wp:posOffset>-102235</wp:posOffset>
            </wp:positionH>
            <wp:positionV relativeFrom="paragraph">
              <wp:posOffset>92710</wp:posOffset>
            </wp:positionV>
            <wp:extent cx="5909945" cy="1729105"/>
            <wp:effectExtent l="0" t="0" r="0" b="0"/>
            <wp:wrapTopAndBottom/>
            <wp:docPr id="3" name="Figura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3" descr=""/>
                    <pic:cNvPicPr>
                      <a:picLocks noChangeAspect="1" noChangeArrowheads="1"/>
                    </pic:cNvPicPr>
                  </pic:nvPicPr>
                  <pic:blipFill>
                    <a:blip r:embed="rId4"/>
                    <a:srcRect l="-99" t="-337" r="-99" b="-337"/>
                    <a:stretch>
                      <a:fillRect/>
                    </a:stretch>
                  </pic:blipFill>
                  <pic:spPr bwMode="auto">
                    <a:xfrm>
                      <a:off x="0" y="0"/>
                      <a:ext cx="5909945" cy="1729105"/>
                    </a:xfrm>
                    <a:prstGeom prst="rect">
                      <a:avLst/>
                    </a:prstGeom>
                  </pic:spPr>
                </pic:pic>
              </a:graphicData>
            </a:graphic>
          </wp:anchor>
        </w:drawing>
      </w:r>
      <w:r>
        <w:rPr>
          <w:rFonts w:ascii="Times New Roman" w:hAnsi="Times New Roman"/>
          <w:b w:val="false"/>
          <w:bCs w:val="false"/>
          <w:sz w:val="20"/>
          <w:szCs w:val="20"/>
          <w:lang w:val="pt-BR" w:eastAsia="zh-CN" w:bidi="hi-IN"/>
        </w:rPr>
        <w:t>Fonte:</w:t>
      </w:r>
      <w:r>
        <w:rPr>
          <w:rFonts w:ascii="Times New Roman" w:hAnsi="Times New Roman"/>
          <w:sz w:val="20"/>
          <w:szCs w:val="20"/>
          <w:lang w:val="pt-BR" w:eastAsia="zh-CN" w:bidi="hi-IN"/>
        </w:rPr>
        <w:t xml:space="preserve"> elaborado pelo autor (2025).</w:t>
      </w:r>
    </w:p>
    <w:p>
      <w:pPr>
        <w:pStyle w:val="normal1"/>
        <w:spacing w:lineRule="auto" w:line="240"/>
        <w:ind w:hanging="0" w:left="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Após a elaboração desta minuta de TTDD, tem-se uma prévia do que será a Tabela de Temporalidade definitiva.</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Por fim, o 8º passo contempla a homologação da TTDD por parte da Administração, que decorre da submissão desta minuta de TTDD à GEDOC, mediante processo criado no Sistema de Gestão de Processo Eletrônico, conforme orientações da IN nº 4/2025, que após analisado e aprovado, segue para publicação no Diário Oficial do Estado (DOE).</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Para fins de proposição ao que precisa ser incorporado na atualização da TTDD em vigor, criou-se uma minuta (Apêndice E) a partir do formulário de elaboração da tabela de temporalidade, com a eleição da subfunção “Segurança Contra Incêndio” e de 2 atividades: 1 – Normatizar e Promover Ações e Medidas de Segurança Contra Incêndios e Pânico; e, 2 – Perícia de Incêndio.</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 escolha desta subfunção deveu-se à necessidade de se atender uma das missões da instituição acerca da perícia de incêndio, cujo objetivo visa à investigação pericial das causas de incêndio e suas implicações.</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Como se pode observar, foram apenas duas versões em 15 anos, com a primeira versão em 2010 e a segunda versão em 2021.</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 primeira versão possui apenas uma subfunção e 5 atividades, com seus respectivos documentos.</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 segunda versão contempla 6 subfunções e 11 atividades e seus documentos, algo bem mais abrangente que a primeira versão, mas ainda assim não contempla todas as atividades de sua estrutura.</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 xml:space="preserve">Para a nova versão APÊNDICE E), como proposição para a atualização da TTDD vigente, a subfunção segurança contra incêndio e pânico passou a contar com duas atividades: 1) Normatizar </w:t>
      </w:r>
      <w:r>
        <w:rPr>
          <w:rFonts w:eastAsia="Times New Roman" w:cs="Times New Roman" w:ascii="Times New Roman" w:hAnsi="Times New Roman"/>
          <w:sz w:val="24"/>
          <w:szCs w:val="24"/>
          <w:shd w:fill="auto" w:val="clear"/>
          <w:lang w:val="pt-BR" w:eastAsia="zh-CN" w:bidi="hi-IN"/>
        </w:rPr>
        <w:t>1 – Normatizar e Promover Ações e Medidas de Segurança Contra Incêndios e Pânico; e, 2 – Perícia de Incêndio.</w:t>
      </w:r>
    </w:p>
    <w:p>
      <w:pPr>
        <w:pStyle w:val="normal1"/>
        <w:widowControl/>
        <w:suppressAutoHyphens w:val="true"/>
        <w:bidi w:val="0"/>
        <w:spacing w:lineRule="auto" w:line="240" w:before="0" w:after="0"/>
        <w:ind w:firstLine="850" w:left="0" w:right="0"/>
        <w:jc w:val="both"/>
        <w:rPr>
          <w:rFonts w:ascii="Times New Roman" w:hAnsi="Times New Roman"/>
        </w:rPr>
      </w:pPr>
      <w:r>
        <w:rPr>
          <w:rFonts w:eastAsia="Times New Roman" w:cs="Times New Roman" w:ascii="Times New Roman" w:hAnsi="Times New Roman"/>
          <w:sz w:val="24"/>
          <w:szCs w:val="24"/>
          <w:shd w:fill="auto" w:val="clear"/>
          <w:lang w:val="pt-BR" w:eastAsia="zh-CN" w:bidi="hi-IN"/>
        </w:rPr>
        <w:t xml:space="preserve">Na primeira atividade foram acrescentadas novas classes que não haviam na versão anterior em decorrência da Lei nº 16.157/13, juntamente com o Decreto nº 1.908/22 que estabeleceu o poder de polícia administrativa do CBMSC. </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Além desta modificação, trouxe-se para a subfunção Segurança Contra Incêndio e Pânico a atividade de Perícia Contra Incêndio, uma vez que estava atrelada à subfunção de Atendimento a Emergências. Este equívoco decorre do fato de a Perícia de Incêndio em sua função administrativa ser uma atividade que pertence área de Segurança Contra Incêndio, e não ao serviço de atendimento de ocorrências.</w:t>
      </w:r>
    </w:p>
    <w:p>
      <w:pPr>
        <w:pStyle w:val="normal1"/>
        <w:widowControl/>
        <w:suppressAutoHyphens w:val="true"/>
        <w:bidi w:val="0"/>
        <w:spacing w:lineRule="auto" w:line="240" w:before="0" w:after="0"/>
        <w:ind w:firstLine="850" w:left="0" w:right="0"/>
        <w:jc w:val="both"/>
        <w:rPr>
          <w:rFonts w:ascii="Times New Roman" w:hAnsi="Times New Roman"/>
        </w:rPr>
      </w:pPr>
      <w:r>
        <w:rPr>
          <w:rFonts w:ascii="Times New Roman" w:hAnsi="Times New Roman"/>
          <w:sz w:val="24"/>
          <w:szCs w:val="24"/>
          <w:lang w:val="pt-BR" w:eastAsia="zh-CN" w:bidi="hi-IN"/>
        </w:rPr>
        <w:t>Estas proposições foram indicadas com base na produção atual dos documentos nestas atividades e na legislação atual específica a estas atividades.</w:t>
      </w:r>
    </w:p>
    <w:p>
      <w:pPr>
        <w:pStyle w:val="normal1"/>
        <w:widowControl/>
        <w:suppressAutoHyphens w:val="true"/>
        <w:bidi w:val="0"/>
        <w:spacing w:lineRule="auto" w:line="240" w:before="0" w:after="0"/>
        <w:ind w:firstLine="850" w:left="0" w:right="0"/>
        <w:jc w:val="both"/>
        <w:rPr>
          <w:rFonts w:ascii="Times New Roman" w:hAnsi="Times New Roman"/>
          <w:sz w:val="24"/>
          <w:szCs w:val="24"/>
          <w:lang w:val="pt-BR" w:eastAsia="zh-CN" w:bidi="hi-IN"/>
        </w:rPr>
      </w:pPr>
      <w:r>
        <w:rPr>
          <w:rFonts w:ascii="Times New Roman" w:hAnsi="Times New Roman"/>
          <w:sz w:val="24"/>
          <w:szCs w:val="24"/>
          <w:lang w:val="pt-BR" w:eastAsia="zh-CN" w:bidi="hi-IN"/>
        </w:rPr>
      </w:r>
    </w:p>
    <w:p>
      <w:pPr>
        <w:pStyle w:val="normal1"/>
        <w:spacing w:lineRule="auto" w:line="240"/>
        <w:ind w:hanging="0" w:left="0"/>
        <w:jc w:val="both"/>
        <w:rPr>
          <w:rFonts w:ascii="Times New Roman" w:hAnsi="Times New Roman"/>
        </w:rPr>
      </w:pPr>
      <w:r>
        <w:rPr>
          <w:rFonts w:eastAsia="Times New Roman" w:cs="Times New Roman" w:ascii="Times New Roman" w:hAnsi="Times New Roman"/>
          <w:b/>
          <w:sz w:val="24"/>
          <w:szCs w:val="24"/>
          <w:lang w:val="pt-BR" w:eastAsia="zh-CN" w:bidi="hi-IN"/>
        </w:rPr>
        <w:t>5 CONSIDERAÇÕES FINAIS</w:t>
      </w:r>
    </w:p>
    <w:p>
      <w:pPr>
        <w:pStyle w:val="normal1"/>
        <w:spacing w:lineRule="auto" w:line="240"/>
        <w:ind w:hanging="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lang w:val="pt-BR" w:eastAsia="zh-CN" w:bidi="hi-IN"/>
        </w:rPr>
        <w:t>A avaliação de documentos de arquivo é um processo que requer do profissional arquivista e da Comissão Permanente de Avaliação de Documentos um conhecimento amplo da estrutura, legislação, funcionamento do órgão, além da produção e tramitação específica de cada conjunto de documentos a ser classificado e avaliado. A análise precisa atender os prazos prescricionais e precaucionais, assim como sua vigência, garantindo a eliminação segura de  documentos imediatos e a guarda de documentos de valor permanente.</w:t>
      </w:r>
    </w:p>
    <w:p>
      <w:pPr>
        <w:pStyle w:val="normal1"/>
        <w:spacing w:lineRule="auto" w:line="240"/>
        <w:ind w:firstLine="850" w:left="0"/>
        <w:jc w:val="both"/>
        <w:rPr>
          <w:rFonts w:ascii="Times New Roman" w:hAnsi="Times New Roman"/>
        </w:rPr>
      </w:pPr>
      <w:r>
        <w:rPr>
          <w:rFonts w:ascii="Times New Roman" w:hAnsi="Times New Roman"/>
          <w:sz w:val="24"/>
          <w:szCs w:val="24"/>
          <w:lang w:val="pt-BR" w:eastAsia="zh-CN" w:bidi="hi-IN"/>
        </w:rPr>
        <w:t>No entanto, observou-se no percurso deste pesquisa, que o CBMSC necessita de um tratamento arquivístico adequado para seu acervo que é heterogêneo e dinâmico, considerando os diversos sistemas de negócio constituídos, as constantes atualizações da legislação e normas da administração que visam atender nestes últimos anos a crescente evolução tecnológica e informacional nos diversos aspectos da sociedade, contemplando tanto o acesso à informação quanto a sua restrição nos casos específicos de dados pessoais, por exemplo. Tal dinamicidade requer do arquivista, conhecimento teórico e da instituição, além de habilidades técnicas para lidar com as mudanças cada vez mais céleres e imprevisíveis.</w:t>
      </w:r>
    </w:p>
    <w:p>
      <w:pPr>
        <w:pStyle w:val="normal1"/>
        <w:spacing w:lineRule="auto" w:line="240"/>
        <w:ind w:firstLine="850" w:left="0"/>
        <w:jc w:val="both"/>
        <w:rPr>
          <w:rFonts w:ascii="Times New Roman" w:hAnsi="Times New Roman"/>
        </w:rPr>
      </w:pPr>
      <w:r>
        <w:rPr>
          <w:rFonts w:ascii="Times New Roman" w:hAnsi="Times New Roman"/>
          <w:color w:val="000000"/>
          <w:sz w:val="24"/>
          <w:szCs w:val="24"/>
          <w:shd w:fill="auto" w:val="clear"/>
          <w:lang w:val="pt-BR" w:eastAsia="zh-CN" w:bidi="hi-IN"/>
        </w:rPr>
        <w:t>Observa-se ainda que desde o primeiro plano de classificação e tabela d</w:t>
      </w:r>
      <w:r>
        <w:rPr>
          <w:rFonts w:ascii="Times New Roman" w:hAnsi="Times New Roman"/>
          <w:sz w:val="24"/>
          <w:szCs w:val="24"/>
          <w:lang w:val="pt-BR" w:eastAsia="zh-CN" w:bidi="hi-IN"/>
        </w:rPr>
        <w:t>e temporalidade em 2010 até o plano e tabela atualmente em vigor, muitos desafios foram vencidos e conhecimentos agregados, os quais são indispensáveis para a resolução de gestão de documentos arquivísticos, com suas tipologias e suportes diversificados e que se apresentam como um problema a ser compreendido e atendido, visando à prestação de um serviço de excelência.</w:t>
      </w:r>
    </w:p>
    <w:p>
      <w:pPr>
        <w:pStyle w:val="normal1"/>
        <w:spacing w:lineRule="auto" w:line="240"/>
        <w:ind w:firstLine="850" w:left="0"/>
        <w:jc w:val="both"/>
        <w:rPr>
          <w:rFonts w:ascii="Times New Roman" w:hAnsi="Times New Roman"/>
        </w:rPr>
      </w:pPr>
      <w:r>
        <w:rPr>
          <w:rFonts w:ascii="Times New Roman" w:hAnsi="Times New Roman"/>
          <w:sz w:val="24"/>
          <w:szCs w:val="24"/>
          <w:lang w:val="pt-BR" w:eastAsia="zh-CN" w:bidi="hi-IN"/>
        </w:rPr>
        <w:t>Inicialmente, na construção dos primeiros instrumentos de gestão documental ainda não se vislumbrava que a documentação que era em suporte papel, fosse algum dia transformada em suporte digital, após a criação do Decreto nº 39/2019, e que esta mudança traria uma série de implicações para a gestão documental da organização, entre elas, a necessidade de se classificar e de se definir prazos de guarda para todos os documentos produzidos e custodiados pelo órgão.</w:t>
      </w:r>
    </w:p>
    <w:p>
      <w:pPr>
        <w:pStyle w:val="normal1"/>
        <w:spacing w:lineRule="auto" w:line="240"/>
        <w:ind w:firstLine="850" w:left="0"/>
        <w:jc w:val="both"/>
        <w:rPr>
          <w:rFonts w:ascii="Times New Roman" w:hAnsi="Times New Roman"/>
        </w:rPr>
      </w:pPr>
      <w:r>
        <w:rPr>
          <w:rFonts w:ascii="Times New Roman" w:hAnsi="Times New Roman"/>
          <w:sz w:val="24"/>
          <w:szCs w:val="24"/>
          <w:lang w:val="pt-BR" w:eastAsia="zh-CN" w:bidi="hi-IN"/>
        </w:rPr>
        <w:t>Atualmente, vê-se que esta medida voltada para a produção exclusiva de documentos digitais, não pode deixar de lado todo o acervo em papel e digital que se encontra custodiado por anos de produção anterior, e que necessitam ser efetivamente integrados à tabela de temporalidade de documentos a fim de garantir sua efetiva gestão para a construção de uma instituição que olha para o futuro com base no aprendizado do seu passado, e com os pés firmados no presente.</w:t>
      </w:r>
    </w:p>
    <w:p>
      <w:pPr>
        <w:pStyle w:val="normal1"/>
        <w:spacing w:lineRule="auto" w:line="240"/>
        <w:ind w:firstLine="850" w:left="0"/>
        <w:jc w:val="both"/>
        <w:rPr>
          <w:rFonts w:ascii="Times New Roman" w:hAnsi="Times New Roman"/>
        </w:rPr>
      </w:pPr>
      <w:r>
        <w:rPr>
          <w:rFonts w:ascii="Times New Roman" w:hAnsi="Times New Roman"/>
          <w:sz w:val="24"/>
          <w:szCs w:val="24"/>
          <w:lang w:val="pt-BR" w:eastAsia="zh-CN" w:bidi="hi-IN"/>
        </w:rPr>
        <w:t xml:space="preserve">Do ponto de vista dos objetivos, essa pesquisa identificou </w:t>
      </w:r>
      <w:r>
        <w:rPr>
          <w:rFonts w:eastAsia="Times New Roman" w:cs="Times New Roman" w:ascii="Times New Roman" w:hAnsi="Times New Roman"/>
          <w:sz w:val="24"/>
          <w:szCs w:val="24"/>
          <w:shd w:fill="auto" w:val="clear"/>
          <w:lang w:val="pt-BR" w:eastAsia="zh-CN" w:bidi="hi-IN"/>
        </w:rPr>
        <w:t>na literatura, diretrizes legais e normativas vigentes no Estado que tratam da elaboração e revisão de tabela de temporalidade e destinação de documentos, conforme apresentado no Quadro 4 e referencial teórico.</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sz w:val="24"/>
          <w:szCs w:val="24"/>
          <w:shd w:fill="auto" w:val="clear"/>
          <w:lang w:val="pt-BR" w:eastAsia="zh-CN" w:bidi="hi-IN"/>
        </w:rPr>
        <w:t>Foi descrito o processo de formalização da tabela de temporalidade e destinação de documentos do CBMSC, com a apresentação do processo de avaliação no Estado que conta com a Gerência de Gestão Documental, Diretoria de Arquivo Público e demais órgãos do Estrado por meio de suas Comissões (CPAD).</w:t>
      </w:r>
    </w:p>
    <w:p>
      <w:pPr>
        <w:pStyle w:val="normal1"/>
        <w:spacing w:lineRule="auto" w:line="240"/>
        <w:ind w:firstLine="850" w:left="0"/>
        <w:jc w:val="both"/>
        <w:rPr>
          <w:rFonts w:ascii="Times New Roman" w:hAnsi="Times New Roman"/>
        </w:rPr>
      </w:pPr>
      <w:r>
        <w:rPr>
          <w:rFonts w:eastAsia="Times New Roman" w:cs="Times New Roman" w:ascii="Times New Roman" w:hAnsi="Times New Roman"/>
          <w:color w:val="000000"/>
          <w:sz w:val="24"/>
          <w:szCs w:val="24"/>
          <w:shd w:fill="auto" w:val="clear"/>
          <w:lang w:val="pt-BR" w:eastAsia="zh-CN" w:bidi="hi-IN"/>
        </w:rPr>
        <w:t>Apresentou-se por fim uma proposição para a</w:t>
      </w:r>
      <w:r>
        <w:rPr>
          <w:rFonts w:eastAsia="Times New Roman" w:cs="Times New Roman" w:ascii="Times New Roman" w:hAnsi="Times New Roman"/>
          <w:sz w:val="24"/>
          <w:szCs w:val="24"/>
          <w:shd w:fill="auto" w:val="clear"/>
          <w:lang w:val="pt-BR" w:eastAsia="zh-CN" w:bidi="hi-IN"/>
        </w:rPr>
        <w:t xml:space="preserve"> adequação e atualização da tabela de temporalidade e destinação de documentos do CBMSC, com a dinamização de passos a serem seguidos e a construção de uma minuta da subfunção “segurança contra incêndio” e suas atividades.</w:t>
      </w:r>
    </w:p>
    <w:p>
      <w:pPr>
        <w:pStyle w:val="normal1"/>
        <w:spacing w:lineRule="auto" w:line="240"/>
        <w:ind w:firstLine="850" w:left="0"/>
        <w:jc w:val="both"/>
        <w:rPr>
          <w:rFonts w:ascii="Times New Roman" w:hAnsi="Times New Roman"/>
        </w:rPr>
      </w:pPr>
      <w:r>
        <w:rPr>
          <w:rFonts w:ascii="Times New Roman" w:hAnsi="Times New Roman"/>
          <w:sz w:val="24"/>
          <w:szCs w:val="24"/>
          <w:lang w:val="pt-BR" w:eastAsia="zh-CN" w:bidi="hi-IN"/>
        </w:rPr>
        <w:t>Por fim, sob o ponto de vista social, esta pesquisa visa demonstrar a importância dos documentos produzidos e custodiados pelo CBMSC, contando sua trajetória na história dos acontecimentos que mais marcaram os catarinenses desde a sua criação até os dias atuais.</w:t>
      </w:r>
    </w:p>
    <w:p>
      <w:pPr>
        <w:pStyle w:val="normal1"/>
        <w:spacing w:lineRule="auto" w:line="240"/>
        <w:ind w:hanging="0" w:left="0"/>
        <w:jc w:val="both"/>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jc w:val="center"/>
        <w:rPr>
          <w:rFonts w:ascii="Times New Roman" w:hAnsi="Times New Roman"/>
          <w:lang w:val="pt-BR" w:eastAsia="zh-CN" w:bidi="hi-IN"/>
        </w:rPr>
      </w:pPr>
      <w:r>
        <w:rPr>
          <w:rFonts w:ascii="Times New Roman" w:hAnsi="Times New Roman"/>
          <w:lang w:val="pt-BR" w:eastAsia="zh-CN" w:bidi="hi-IN"/>
        </w:rPr>
      </w:r>
      <w:r>
        <w:br w:type="page"/>
      </w:r>
    </w:p>
    <w:p>
      <w:pPr>
        <w:pStyle w:val="normal1"/>
        <w:spacing w:lineRule="auto" w:line="240" w:before="0" w:after="0"/>
        <w:jc w:val="center"/>
        <w:rPr>
          <w:rFonts w:ascii="Times New Roman" w:hAnsi="Times New Roman"/>
        </w:rPr>
      </w:pPr>
      <w:r>
        <w:rPr>
          <w:rFonts w:eastAsia="Times New Roman" w:cs="Times New Roman" w:ascii="Times New Roman" w:hAnsi="Times New Roman"/>
          <w:b/>
          <w:sz w:val="24"/>
          <w:szCs w:val="24"/>
          <w:lang w:val="pt-BR" w:eastAsia="zh-CN" w:bidi="hi-IN"/>
        </w:rPr>
        <w:t>REFERÊNCIAS</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ascii="Times New Roman" w:hAnsi="Times New Roman"/>
          <w:sz w:val="24"/>
          <w:szCs w:val="24"/>
          <w:lang w:val="pt-BR" w:eastAsia="zh-CN" w:bidi="hi-IN"/>
        </w:rPr>
        <w:t xml:space="preserve">ARQUIVO PÚBLICO (Santa Catarina). </w:t>
      </w:r>
      <w:r>
        <w:rPr>
          <w:rFonts w:ascii="Times New Roman" w:hAnsi="Times New Roman"/>
          <w:b/>
          <w:bCs/>
          <w:sz w:val="24"/>
          <w:szCs w:val="24"/>
          <w:lang w:val="pt-BR" w:eastAsia="zh-CN" w:bidi="hi-IN"/>
        </w:rPr>
        <w:t>Manual de Eliminação de Documentos Públicos</w:t>
      </w:r>
      <w:r>
        <w:rPr>
          <w:rFonts w:ascii="Times New Roman" w:hAnsi="Times New Roman"/>
          <w:sz w:val="24"/>
          <w:szCs w:val="24"/>
          <w:lang w:val="pt-BR" w:eastAsia="zh-CN" w:bidi="hi-IN"/>
        </w:rPr>
        <w:t>. 2</w:t>
      </w:r>
      <w:r>
        <w:rPr>
          <w:rFonts w:ascii="Times New Roman" w:hAnsi="Times New Roman"/>
          <w:sz w:val="24"/>
          <w:szCs w:val="24"/>
          <w:u w:val="single"/>
          <w:vertAlign w:val="superscript"/>
          <w:lang w:val="pt-BR" w:eastAsia="zh-CN" w:bidi="hi-IN"/>
        </w:rPr>
        <w:t>a</w:t>
      </w:r>
      <w:r>
        <w:rPr>
          <w:rFonts w:ascii="Times New Roman" w:hAnsi="Times New Roman"/>
          <w:sz w:val="24"/>
          <w:szCs w:val="24"/>
          <w:lang w:val="pt-BR" w:eastAsia="zh-CN" w:bidi="hi-IN"/>
        </w:rPr>
        <w:t xml:space="preserve"> ed., São José: Arquivo Público SC, 2024. v.2. Disponível em: </w:t>
      </w:r>
      <w:r>
        <w:rPr>
          <w:rFonts w:ascii="Times New Roman" w:hAnsi="Times New Roman"/>
          <w:color w:val="1155CC"/>
          <w:sz w:val="24"/>
          <w:szCs w:val="24"/>
          <w:u w:val="single"/>
          <w:lang w:val="pt-BR" w:eastAsia="zh-CN" w:bidi="hi-IN"/>
        </w:rPr>
        <w:t>https://www.sea.sc.gov.br/wp-content/uploads/2025/03/2a-Edicao-Manual-de-Eliminacao-de-Documentos-2.pdf</w:t>
      </w:r>
      <w:r>
        <w:rPr>
          <w:rFonts w:ascii="Times New Roman" w:hAnsi="Times New Roman"/>
          <w:sz w:val="24"/>
          <w:szCs w:val="24"/>
          <w:lang w:val="pt-BR" w:eastAsia="zh-CN" w:bidi="hi-IN"/>
        </w:rPr>
        <w:t xml:space="preserve"> Acesso em: 24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BERNARDES, Ieda Pimenta; DELATORRE, Hilda. </w:t>
      </w:r>
      <w:r>
        <w:rPr>
          <w:rFonts w:eastAsia="Times New Roman" w:cs="Times New Roman" w:ascii="Times New Roman" w:hAnsi="Times New Roman"/>
          <w:b/>
          <w:bCs/>
          <w:sz w:val="24"/>
          <w:szCs w:val="24"/>
          <w:lang w:val="pt-BR" w:eastAsia="zh-CN" w:bidi="hi-IN"/>
        </w:rPr>
        <w:t>Gestão documental aplicada</w:t>
      </w:r>
      <w:r>
        <w:rPr>
          <w:rFonts w:eastAsia="Times New Roman" w:cs="Times New Roman" w:ascii="Times New Roman" w:hAnsi="Times New Roman"/>
          <w:sz w:val="24"/>
          <w:szCs w:val="24"/>
          <w:lang w:val="pt-BR" w:eastAsia="zh-CN" w:bidi="hi-IN"/>
        </w:rPr>
        <w:t xml:space="preserve">. São Paulo: Editora do Estado de São Paulo, 2008. Disponível em: </w:t>
      </w:r>
      <w:hyperlink r:id="rId5">
        <w:r>
          <w:rPr>
            <w:rStyle w:val="ListLabel1"/>
            <w:rFonts w:eastAsia="Times New Roman" w:cs="Times New Roman" w:ascii="Times New Roman" w:hAnsi="Times New Roman"/>
            <w:color w:val="1155CC"/>
            <w:sz w:val="24"/>
            <w:szCs w:val="24"/>
            <w:u w:val="single"/>
            <w:lang w:val="pt-BR" w:eastAsia="zh-CN" w:bidi="hi-IN"/>
          </w:rPr>
          <w:t>http://www.arquivoestado.sp.gov.br/site/assets/publicacao/anexo/gestao_documental_aplicada.pdf</w:t>
        </w:r>
      </w:hyperlink>
      <w:r>
        <w:rPr>
          <w:rFonts w:eastAsia="Times New Roman" w:cs="Times New Roman" w:ascii="Times New Roman" w:hAnsi="Times New Roman"/>
          <w:sz w:val="24"/>
          <w:szCs w:val="24"/>
          <w:lang w:val="pt-BR" w:eastAsia="zh-CN" w:bidi="hi-IN"/>
        </w:rPr>
        <w:t xml:space="preserve"> . Acesso em: 25 jun.2023.</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ascii="Times New Roman" w:hAnsi="Times New Roman"/>
          <w:sz w:val="24"/>
          <w:szCs w:val="24"/>
          <w:lang w:val="pt-BR" w:eastAsia="zh-CN" w:bidi="hi-IN"/>
        </w:rPr>
        <w:t xml:space="preserve">BERNARDES, Ieda Pimenta. </w:t>
      </w:r>
      <w:r>
        <w:rPr>
          <w:rFonts w:ascii="Times New Roman" w:hAnsi="Times New Roman"/>
          <w:b/>
          <w:bCs/>
          <w:sz w:val="24"/>
          <w:szCs w:val="24"/>
          <w:lang w:val="pt-BR" w:eastAsia="zh-CN" w:bidi="hi-IN"/>
        </w:rPr>
        <w:t>Como avaliar documentos de arquivo</w:t>
      </w:r>
      <w:r>
        <w:rPr>
          <w:rFonts w:ascii="Times New Roman" w:hAnsi="Times New Roman"/>
          <w:sz w:val="24"/>
          <w:szCs w:val="24"/>
          <w:lang w:val="pt-BR" w:eastAsia="zh-CN" w:bidi="hi-IN"/>
        </w:rPr>
        <w:t xml:space="preserve">. São Paulo: Arquivo do Estado, 1998. ISBN 85-86726-04-4. Disponível em: </w:t>
      </w:r>
      <w:hyperlink r:id="rId6">
        <w:r>
          <w:rPr>
            <w:rStyle w:val="ListLabel2"/>
            <w:rFonts w:ascii="Times New Roman" w:hAnsi="Times New Roman"/>
            <w:color w:val="1155CC"/>
            <w:sz w:val="24"/>
            <w:szCs w:val="24"/>
            <w:u w:val="single"/>
            <w:lang w:val="pt-BR" w:eastAsia="zh-CN" w:bidi="hi-IN"/>
          </w:rPr>
          <w:t>http://www.arqsp.org.br/arquivos/oficinas_colecao_como_fazer/cf1.pdf</w:t>
        </w:r>
      </w:hyperlink>
      <w:r>
        <w:rPr>
          <w:rFonts w:ascii="Times New Roman" w:hAnsi="Times New Roman"/>
          <w:sz w:val="24"/>
          <w:szCs w:val="24"/>
          <w:lang w:val="pt-BR" w:eastAsia="zh-CN" w:bidi="hi-IN"/>
        </w:rPr>
        <w:t xml:space="preserve"> Acesso em: 25 out.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BRASIL. [Constituição (1988)] </w:t>
      </w:r>
      <w:r>
        <w:rPr>
          <w:rFonts w:eastAsia="Times New Roman" w:cs="Times New Roman" w:ascii="Times New Roman" w:hAnsi="Times New Roman"/>
          <w:b/>
          <w:sz w:val="24"/>
          <w:szCs w:val="24"/>
          <w:lang w:val="pt-BR" w:eastAsia="zh-CN" w:bidi="hi-IN"/>
        </w:rPr>
        <w:t>Constituição da República Federativa do Brasil de 1988</w:t>
      </w:r>
      <w:r>
        <w:rPr>
          <w:rFonts w:eastAsia="Times New Roman" w:cs="Times New Roman" w:ascii="Times New Roman" w:hAnsi="Times New Roman"/>
          <w:sz w:val="24"/>
          <w:szCs w:val="24"/>
          <w:lang w:val="pt-BR" w:eastAsia="zh-CN" w:bidi="hi-IN"/>
        </w:rPr>
        <w:t xml:space="preserve">. Brasília, DF: Presidência da República, [2021]. Disponível em: </w:t>
      </w:r>
      <w:hyperlink r:id="rId7">
        <w:r>
          <w:rPr>
            <w:rStyle w:val="ListLabel1"/>
            <w:rFonts w:eastAsia="Times New Roman" w:cs="Times New Roman" w:ascii="Times New Roman" w:hAnsi="Times New Roman"/>
            <w:color w:val="1155CC"/>
            <w:sz w:val="24"/>
            <w:szCs w:val="24"/>
            <w:u w:val="single"/>
            <w:lang w:val="pt-BR" w:eastAsia="zh-CN" w:bidi="hi-IN"/>
          </w:rPr>
          <w:t>http://www.planalto.gov.br/ccivil_03/constituicao/constituicao.htm</w:t>
        </w:r>
      </w:hyperlink>
      <w:r>
        <w:rPr>
          <w:rFonts w:eastAsia="Times New Roman" w:cs="Times New Roman" w:ascii="Times New Roman" w:hAnsi="Times New Roman"/>
          <w:sz w:val="24"/>
          <w:szCs w:val="24"/>
          <w:lang w:val="pt-BR" w:eastAsia="zh-CN" w:bidi="hi-IN"/>
        </w:rPr>
        <w:t xml:space="preserve"> Acesso em: 9 fev.</w:t>
      </w:r>
    </w:p>
    <w:p>
      <w:pPr>
        <w:pStyle w:val="normal1"/>
        <w:spacing w:lineRule="auto" w:line="240"/>
        <w:rPr>
          <w:rFonts w:ascii="Times New Roman" w:hAnsi="Times New Roman"/>
        </w:rPr>
      </w:pPr>
      <w:r>
        <w:rPr>
          <w:rFonts w:eastAsia="Times New Roman" w:cs="Times New Roman" w:ascii="Times New Roman" w:hAnsi="Times New Roman"/>
          <w:sz w:val="24"/>
          <w:szCs w:val="24"/>
          <w:lang w:val="pt-BR" w:eastAsia="zh-CN" w:bidi="hi-IN"/>
        </w:rPr>
        <w:t>2022.</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BRASIL. </w:t>
      </w:r>
      <w:r>
        <w:rPr>
          <w:rFonts w:eastAsia="Times New Roman" w:cs="Times New Roman" w:ascii="Times New Roman" w:hAnsi="Times New Roman"/>
          <w:b/>
          <w:sz w:val="24"/>
          <w:szCs w:val="24"/>
          <w:lang w:val="pt-BR" w:eastAsia="zh-CN" w:bidi="hi-IN"/>
        </w:rPr>
        <w:t>Lei Federal 8.159, de 8 de janeiro de 1991</w:t>
      </w:r>
      <w:r>
        <w:rPr>
          <w:rFonts w:eastAsia="Times New Roman" w:cs="Times New Roman" w:ascii="Times New Roman" w:hAnsi="Times New Roman"/>
          <w:sz w:val="24"/>
          <w:szCs w:val="24"/>
          <w:lang w:val="pt-BR" w:eastAsia="zh-CN" w:bidi="hi-IN"/>
        </w:rPr>
        <w:t xml:space="preserve">. Dispõe sobre a política nacional de arquivos públicos e privados e dá outras providências. Brasília, DF: Presidência da República, [1991]. Disponível em: </w:t>
      </w:r>
      <w:hyperlink r:id="rId8">
        <w:r>
          <w:rPr>
            <w:rStyle w:val="ListLabel1"/>
            <w:rFonts w:eastAsia="Times New Roman" w:cs="Times New Roman" w:ascii="Times New Roman" w:hAnsi="Times New Roman"/>
            <w:color w:val="1155CC"/>
            <w:sz w:val="24"/>
            <w:szCs w:val="24"/>
            <w:u w:val="single"/>
            <w:lang w:val="pt-BR" w:eastAsia="zh-CN" w:bidi="hi-IN"/>
          </w:rPr>
          <w:t>https://www.planalto.gov.br/ccivil_03/leis/l8159.htm</w:t>
        </w:r>
      </w:hyperlink>
      <w:r>
        <w:rPr>
          <w:rFonts w:eastAsia="Times New Roman" w:cs="Times New Roman" w:ascii="Times New Roman" w:hAnsi="Times New Roman"/>
          <w:sz w:val="24"/>
          <w:szCs w:val="24"/>
          <w:lang w:val="pt-BR" w:eastAsia="zh-CN" w:bidi="hi-IN"/>
        </w:rPr>
        <w:t xml:space="preserve"> . Acesso em: 9 out.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CHAGAS, Cintia Aparecida. Os Documentos Arquivísticos Digitais nas Tabela de Temporalidade e Destinação dos Poderes Executivos Estaduais: Uma Análise da Região Sudeste Brasileira. </w:t>
      </w:r>
      <w:r>
        <w:rPr>
          <w:rFonts w:eastAsia="Times New Roman" w:cs="Times New Roman" w:ascii="Times New Roman" w:hAnsi="Times New Roman"/>
          <w:b/>
          <w:sz w:val="24"/>
          <w:szCs w:val="24"/>
          <w:lang w:val="pt-BR" w:eastAsia="zh-CN" w:bidi="hi-IN"/>
        </w:rPr>
        <w:t>XXIII ENANCIB</w:t>
      </w:r>
      <w:r>
        <w:rPr>
          <w:rFonts w:eastAsia="Times New Roman" w:cs="Times New Roman" w:ascii="Times New Roman" w:hAnsi="Times New Roman"/>
          <w:sz w:val="24"/>
          <w:szCs w:val="24"/>
          <w:lang w:val="pt-BR" w:eastAsia="zh-CN" w:bidi="hi-IN"/>
        </w:rPr>
        <w:t xml:space="preserve">, 2023, Aracajú (SE). ISSN 2177-3688. Disponível em: </w:t>
      </w:r>
      <w:hyperlink r:id="rId9">
        <w:r>
          <w:rPr>
            <w:rStyle w:val="ListLabel1"/>
            <w:rFonts w:eastAsia="Times New Roman" w:cs="Times New Roman" w:ascii="Times New Roman" w:hAnsi="Times New Roman"/>
            <w:color w:val="1155CC"/>
            <w:sz w:val="24"/>
            <w:szCs w:val="24"/>
            <w:u w:val="single"/>
            <w:lang w:val="pt-BR" w:eastAsia="zh-CN" w:bidi="hi-IN"/>
          </w:rPr>
          <w:t>https://cip.brapci.inf.br//download/257904</w:t>
        </w:r>
      </w:hyperlink>
      <w:r>
        <w:rPr>
          <w:rFonts w:eastAsia="Times New Roman" w:cs="Times New Roman" w:ascii="Times New Roman" w:hAnsi="Times New Roman"/>
          <w:sz w:val="24"/>
          <w:szCs w:val="24"/>
          <w:lang w:val="pt-BR" w:eastAsia="zh-CN" w:bidi="hi-IN"/>
        </w:rPr>
        <w:t xml:space="preserve"> Acesso em: 01 dez.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eastAsia="Times New Roman" w:cs="Times New Roman" w:ascii="Times New Roman" w:hAnsi="Times New Roman"/>
          <w:sz w:val="24"/>
          <w:szCs w:val="24"/>
          <w:lang w:val="pt-BR" w:eastAsia="zh-CN" w:bidi="hi-IN"/>
        </w:rPr>
        <w:t xml:space="preserve">CHIZZOTTI, Antônio. </w:t>
      </w:r>
      <w:r>
        <w:rPr>
          <w:rFonts w:eastAsia="Times New Roman" w:cs="Times New Roman" w:ascii="Times New Roman" w:hAnsi="Times New Roman"/>
          <w:b/>
          <w:sz w:val="24"/>
          <w:szCs w:val="24"/>
          <w:lang w:val="pt-BR" w:eastAsia="zh-CN" w:bidi="hi-IN"/>
        </w:rPr>
        <w:t>Pesquisa em Ciências Humanas e Sociais</w:t>
      </w:r>
      <w:r>
        <w:rPr>
          <w:rFonts w:eastAsia="Times New Roman" w:cs="Times New Roman" w:ascii="Times New Roman" w:hAnsi="Times New Roman"/>
          <w:sz w:val="24"/>
          <w:szCs w:val="24"/>
          <w:lang w:val="pt-BR" w:eastAsia="zh-CN" w:bidi="hi-IN"/>
        </w:rPr>
        <w:t>. São Paulo: Editora Cortez. 2018. e-ISBN 978-85-249-2647-1</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ascii="Times New Roman" w:hAnsi="Times New Roman"/>
          <w:color w:val="auto"/>
          <w:sz w:val="24"/>
          <w:szCs w:val="24"/>
          <w:lang w:val="pt-BR" w:eastAsia="zh-CN" w:bidi="hi-IN"/>
        </w:rPr>
        <w:t xml:space="preserve">CONCEIÇÃO, B. M. P.; BRANDÃO, G. S. A avaliação documental aplicada ao contexto de um conselho de fiscalização profissional. Ágora: Arquivologia em debate, v. 35, n. 70, 2025. Disponível em: </w:t>
      </w:r>
      <w:hyperlink r:id="rId10">
        <w:r>
          <w:rPr>
            <w:rStyle w:val="ListLabel3"/>
            <w:rFonts w:ascii="Times New Roman" w:hAnsi="Times New Roman"/>
            <w:color w:val="auto"/>
            <w:sz w:val="24"/>
            <w:szCs w:val="24"/>
            <w:u w:val="single"/>
            <w:lang w:val="pt-BR" w:eastAsia="zh-CN" w:bidi="hi-IN"/>
          </w:rPr>
          <w:t>https://cip.brapci.inf.br//download/345568</w:t>
        </w:r>
      </w:hyperlink>
      <w:r>
        <w:rPr>
          <w:rFonts w:ascii="Times New Roman" w:hAnsi="Times New Roman"/>
          <w:color w:val="auto"/>
          <w:sz w:val="24"/>
          <w:szCs w:val="24"/>
          <w:lang w:val="pt-BR" w:eastAsia="zh-CN" w:bidi="hi-IN"/>
        </w:rPr>
        <w:t xml:space="preserve"> </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CONSELHO NACIONAL DE ARQUIVOS – CONARQ. Dicionário brasileiro de terminologia arquivística. Rio de Janeiro: Arquivo Nacional, 2005. </w:t>
      </w:r>
      <w:hyperlink r:id="rId11">
        <w:r>
          <w:rPr>
            <w:rStyle w:val="ListLabel1"/>
            <w:rFonts w:eastAsia="Times New Roman" w:cs="Times New Roman" w:ascii="Times New Roman" w:hAnsi="Times New Roman"/>
            <w:color w:val="1155CC"/>
            <w:sz w:val="24"/>
            <w:szCs w:val="24"/>
            <w:u w:val="single"/>
            <w:lang w:val="pt-BR" w:eastAsia="zh-CN" w:bidi="hi-IN"/>
          </w:rPr>
          <w:t>https://www.gov.br/conarq/pt-br/centrais-de-conteudo/publicacoes/dicionrio_de_terminologia_arquivistica.pdf/@@download/file</w:t>
        </w:r>
      </w:hyperlink>
      <w:r>
        <w:rPr>
          <w:rFonts w:eastAsia="Times New Roman" w:cs="Times New Roman" w:ascii="Times New Roman" w:hAnsi="Times New Roman"/>
          <w:sz w:val="24"/>
          <w:szCs w:val="24"/>
          <w:lang w:val="pt-BR" w:eastAsia="zh-CN" w:bidi="hi-IN"/>
        </w:rPr>
        <w:t xml:space="preserve"> Acesso em 15 out.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CORPO DE BOMBEIROS MILITAR DE SC. </w:t>
      </w:r>
      <w:r>
        <w:rPr>
          <w:rFonts w:eastAsia="Times New Roman" w:cs="Times New Roman" w:ascii="Times New Roman" w:hAnsi="Times New Roman"/>
          <w:b/>
          <w:sz w:val="24"/>
          <w:szCs w:val="24"/>
          <w:lang w:val="pt-BR" w:eastAsia="zh-CN" w:bidi="hi-IN"/>
        </w:rPr>
        <w:t>Portaria nº 126, de 22 de maio de 2009.</w:t>
      </w:r>
      <w:r>
        <w:rPr>
          <w:rFonts w:eastAsia="Times New Roman" w:cs="Times New Roman" w:ascii="Times New Roman" w:hAnsi="Times New Roman"/>
          <w:sz w:val="24"/>
          <w:szCs w:val="24"/>
          <w:lang w:val="pt-BR" w:eastAsia="zh-CN" w:bidi="hi-IN"/>
        </w:rPr>
        <w:t xml:space="preserve"> Designa a Comissão Permanente de Avaliação de Documentos. Florianópolis, SC. APESC Nº 18.625, de 15/06/2009. Disponível em: </w:t>
      </w:r>
      <w:hyperlink r:id="rId12">
        <w:r>
          <w:rPr>
            <w:rStyle w:val="ListLabel1"/>
            <w:rFonts w:eastAsia="Times New Roman" w:cs="Times New Roman" w:ascii="Times New Roman" w:hAnsi="Times New Roman"/>
            <w:color w:val="1155CC"/>
            <w:sz w:val="24"/>
            <w:szCs w:val="24"/>
            <w:u w:val="single"/>
            <w:lang w:val="pt-BR" w:eastAsia="zh-CN" w:bidi="hi-IN"/>
          </w:rPr>
          <w:t>https://acervo.arquivopublico.sc.gov.br/uploads/r/arquivo-publico-do-estado-de-santa-catarina-apesc/6/d/5/6d52f272fec5b44db4f7642ec631618f67293d4e318497848bb843a4afa18561/b52bd51b-57ff-48a0-a389-3a101c0b19bb-14988-DOE_18625_15_06_2009_48F_JUCESC_18625_08F.pdf</w:t>
        </w:r>
      </w:hyperlink>
      <w:r>
        <w:rPr>
          <w:rFonts w:eastAsia="Times New Roman" w:cs="Times New Roman" w:ascii="Times New Roman" w:hAnsi="Times New Roman"/>
          <w:sz w:val="24"/>
          <w:szCs w:val="24"/>
          <w:lang w:val="pt-BR" w:eastAsia="zh-CN" w:bidi="hi-IN"/>
        </w:rPr>
        <w:t xml:space="preserve">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CORPO DE BOMBEIROS MILITAR DE SC. Sobre o CBMSC: </w:t>
      </w:r>
      <w:r>
        <w:rPr>
          <w:rFonts w:eastAsia="Times New Roman" w:cs="Times New Roman" w:ascii="Times New Roman" w:hAnsi="Times New Roman"/>
          <w:b/>
          <w:sz w:val="24"/>
          <w:szCs w:val="24"/>
          <w:lang w:val="pt-BR" w:eastAsia="zh-CN" w:bidi="hi-IN"/>
        </w:rPr>
        <w:t>História.</w:t>
      </w:r>
      <w:r>
        <w:rPr>
          <w:rFonts w:eastAsia="Times New Roman" w:cs="Times New Roman" w:ascii="Times New Roman" w:hAnsi="Times New Roman"/>
          <w:sz w:val="24"/>
          <w:szCs w:val="24"/>
          <w:lang w:val="pt-BR" w:eastAsia="zh-CN" w:bidi="hi-IN"/>
        </w:rPr>
        <w:t xml:space="preserve"> Florianópolis: CBMSC, [20–] Disponível em: </w:t>
      </w:r>
      <w:hyperlink r:id="rId13">
        <w:r>
          <w:rPr>
            <w:rStyle w:val="ListLabel1"/>
            <w:rFonts w:eastAsia="Times New Roman" w:cs="Times New Roman" w:ascii="Times New Roman" w:hAnsi="Times New Roman"/>
            <w:color w:val="1155CC"/>
            <w:sz w:val="24"/>
            <w:szCs w:val="24"/>
            <w:u w:val="single"/>
            <w:lang w:val="pt-BR" w:eastAsia="zh-CN" w:bidi="hi-IN"/>
          </w:rPr>
          <w:t>https://www.cbm.sc.gov.br/index.php/sobre-o-cbmsc/historia</w:t>
        </w:r>
      </w:hyperlink>
      <w:r>
        <w:rPr>
          <w:rFonts w:eastAsia="Times New Roman" w:cs="Times New Roman" w:ascii="Times New Roman" w:hAnsi="Times New Roman"/>
          <w:sz w:val="24"/>
          <w:szCs w:val="24"/>
          <w:lang w:val="pt-BR" w:eastAsia="zh-CN" w:bidi="hi-IN"/>
        </w:rPr>
        <w:t xml:space="preserve"> Acesso em: 1º dez.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BodyText"/>
        <w:spacing w:lineRule="auto" w:line="240" w:before="0" w:after="0"/>
        <w:rPr/>
      </w:pPr>
      <w:bookmarkStart w:id="1" w:name="docs-internal-guid-b6c19ed3-7fff-4bd5-c1"/>
      <w:bookmarkEnd w:id="1"/>
      <w:r>
        <w:rPr>
          <w:rFonts w:eastAsia="Times New Roman" w:cs="Times New Roman"/>
          <w:b w:val="false"/>
          <w:i w:val="false"/>
          <w:caps w:val="false"/>
          <w:smallCaps w:val="false"/>
          <w:strike w:val="false"/>
          <w:dstrike w:val="false"/>
          <w:color w:val="000000"/>
          <w:sz w:val="24"/>
          <w:szCs w:val="24"/>
          <w:u w:val="none"/>
          <w:effect w:val="none"/>
          <w:shd w:fill="auto" w:val="clear"/>
          <w:lang w:val="pt-BR" w:eastAsia="zh-CN" w:bidi="hi-IN"/>
        </w:rPr>
        <w:t xml:space="preserve">CORPO DE BOMBEIROS MILITAR DE SC. </w:t>
      </w:r>
      <w:r>
        <w:rPr>
          <w:rFonts w:eastAsia="Times New Roman" w:cs="Times New Roman"/>
          <w:b/>
          <w:bCs/>
          <w:i w:val="false"/>
          <w:caps w:val="false"/>
          <w:smallCaps w:val="false"/>
          <w:strike w:val="false"/>
          <w:dstrike w:val="false"/>
          <w:color w:val="000000"/>
          <w:sz w:val="24"/>
          <w:szCs w:val="24"/>
          <w:u w:val="none"/>
          <w:effect w:val="none"/>
          <w:shd w:fill="auto" w:val="clear"/>
          <w:lang w:val="pt-BR" w:eastAsia="zh-CN" w:bidi="hi-IN"/>
        </w:rPr>
        <w:t>Missão, Visão e Valores</w:t>
      </w:r>
      <w:r>
        <w:rPr>
          <w:rFonts w:eastAsia="Times New Roman" w:cs="Times New Roman"/>
          <w:b w:val="false"/>
          <w:i w:val="false"/>
          <w:caps w:val="false"/>
          <w:smallCaps w:val="false"/>
          <w:strike w:val="false"/>
          <w:dstrike w:val="false"/>
          <w:color w:val="000000"/>
          <w:sz w:val="24"/>
          <w:szCs w:val="24"/>
          <w:u w:val="none"/>
          <w:effect w:val="none"/>
          <w:shd w:fill="auto" w:val="clear"/>
          <w:lang w:val="pt-BR" w:eastAsia="zh-CN" w:bidi="hi-IN"/>
        </w:rPr>
        <w:t xml:space="preserve">. 2023. Disponível em: </w:t>
      </w:r>
      <w:hyperlink r:id="rId14">
        <w:r>
          <w:rPr>
            <w:rStyle w:val="Hyperlink"/>
            <w:rFonts w:eastAsia="Times New Roman" w:cs="Times New Roman"/>
            <w:b w:val="false"/>
            <w:i w:val="false"/>
            <w:caps w:val="false"/>
            <w:smallCaps w:val="false"/>
            <w:strike w:val="false"/>
            <w:dstrike w:val="false"/>
            <w:color w:val="1155CC"/>
            <w:sz w:val="24"/>
            <w:szCs w:val="24"/>
            <w:u w:val="single"/>
            <w:effect w:val="none"/>
            <w:shd w:fill="auto" w:val="clear"/>
            <w:lang w:val="pt-BR" w:eastAsia="zh-CN" w:bidi="hi-IN"/>
          </w:rPr>
          <w:t>https://www.cbm.sc.gov.br/index.php/sobre-o-cbmsc/missao-visao-e-valores</w:t>
        </w:r>
      </w:hyperlink>
      <w:r>
        <w:rPr>
          <w:rFonts w:eastAsia="Times New Roman" w:cs="Times New Roman"/>
          <w:b w:val="false"/>
          <w:caps w:val="false"/>
          <w:smallCaps w:val="false"/>
          <w:strike w:val="false"/>
          <w:dstrike w:val="false"/>
          <w:color w:val="000000"/>
          <w:sz w:val="24"/>
          <w:szCs w:val="24"/>
          <w:u w:val="none"/>
          <w:effect w:val="none"/>
          <w:shd w:fill="auto" w:val="clear"/>
          <w:lang w:val="pt-BR" w:eastAsia="zh-CN" w:bidi="hi-IN"/>
        </w:rPr>
        <w:t xml:space="preserve"> </w:t>
      </w:r>
      <w:r>
        <w:rPr>
          <w:rFonts w:eastAsia="Times New Roman" w:cs="Times New Roman"/>
          <w:b w:val="false"/>
          <w:i w:val="false"/>
          <w:caps w:val="false"/>
          <w:smallCaps w:val="false"/>
          <w:strike w:val="false"/>
          <w:dstrike w:val="false"/>
          <w:color w:val="000000"/>
          <w:sz w:val="24"/>
          <w:szCs w:val="24"/>
          <w:u w:val="none"/>
          <w:effect w:val="none"/>
          <w:shd w:fill="auto" w:val="clear"/>
          <w:lang w:val="pt-BR" w:eastAsia="zh-CN" w:bidi="hi-IN"/>
        </w:rPr>
        <w:t>Acesso em: 28 maio 2025.</w:t>
      </w:r>
    </w:p>
    <w:p>
      <w:pPr>
        <w:pStyle w:val="BodyText"/>
        <w:spacing w:lineRule="auto" w:line="240" w:before="0" w:after="0"/>
        <w:rPr>
          <w:rFonts w:ascii="Times New Roman" w:hAnsi="Times New Roman" w:eastAsia="Times New Roman" w:cs="Times New Roman"/>
          <w:sz w:val="24"/>
          <w:szCs w:val="24"/>
          <w:lang w:val="pt-BR" w:eastAsia="zh-CN" w:bidi="hi-IN"/>
        </w:rPr>
      </w:pPr>
      <w:r>
        <w:rPr>
          <w:rFonts w:eastAsia="Times New Roman" w:cs="Times New Roman"/>
          <w:sz w:val="24"/>
          <w:szCs w:val="24"/>
          <w:lang w:val="pt-BR" w:eastAsia="zh-CN" w:bidi="hi-IN"/>
        </w:rPr>
      </w:r>
    </w:p>
    <w:p>
      <w:pPr>
        <w:pStyle w:val="normal1"/>
        <w:spacing w:lineRule="auto" w:line="240"/>
        <w:rPr>
          <w:rFonts w:ascii="Times New Roman" w:hAnsi="Times New Roman"/>
        </w:rPr>
      </w:pPr>
      <w:r>
        <w:rPr>
          <w:rFonts w:eastAsia="Times New Roman" w:cs="Times New Roman" w:ascii="Times New Roman" w:hAnsi="Times New Roman"/>
          <w:sz w:val="24"/>
          <w:szCs w:val="24"/>
          <w:lang w:val="pt-BR" w:eastAsia="zh-CN" w:bidi="hi-IN"/>
        </w:rPr>
        <w:t xml:space="preserve">CRESWELL, John W. </w:t>
      </w:r>
      <w:r>
        <w:rPr>
          <w:rFonts w:eastAsia="Times New Roman" w:cs="Times New Roman" w:ascii="Times New Roman" w:hAnsi="Times New Roman"/>
          <w:b/>
          <w:sz w:val="24"/>
          <w:szCs w:val="24"/>
          <w:lang w:val="pt-BR" w:eastAsia="zh-CN" w:bidi="hi-IN"/>
        </w:rPr>
        <w:t>Projeto de pesquisa: métodos qualitativo, quantitativo e misto</w:t>
      </w:r>
      <w:r>
        <w:rPr>
          <w:rFonts w:eastAsia="Times New Roman" w:cs="Times New Roman" w:ascii="Times New Roman" w:hAnsi="Times New Roman"/>
          <w:sz w:val="24"/>
          <w:szCs w:val="24"/>
          <w:lang w:val="pt-BR" w:eastAsia="zh-CN" w:bidi="hi-IN"/>
        </w:rPr>
        <w:t>. 3. ed. Porto Alegre: Artmed, 2010. ISBN 978-85-363-2300-8</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GERÊNCIA DE GESTÃO DOCUMENTAL – GEDOC (Santa Catarina) Orientações para elaboração de planos de classificação e tabelas de temporalidade de documentos de atividades-fim. </w:t>
      </w:r>
      <w:r>
        <w:rPr>
          <w:rFonts w:eastAsia="Times New Roman" w:cs="Times New Roman" w:ascii="Times New Roman" w:hAnsi="Times New Roman"/>
          <w:b/>
          <w:bCs/>
          <w:sz w:val="24"/>
          <w:szCs w:val="24"/>
          <w:lang w:val="pt-BR" w:eastAsia="zh-CN" w:bidi="hi-IN"/>
        </w:rPr>
        <w:t>São José: sc.gov.br</w:t>
      </w:r>
      <w:r>
        <w:rPr>
          <w:rFonts w:eastAsia="Times New Roman" w:cs="Times New Roman" w:ascii="Times New Roman" w:hAnsi="Times New Roman"/>
          <w:sz w:val="24"/>
          <w:szCs w:val="24"/>
          <w:lang w:val="pt-BR" w:eastAsia="zh-CN" w:bidi="hi-IN"/>
        </w:rPr>
        <w:t xml:space="preserve">. 10 set. 2024. Disponível em: </w:t>
      </w:r>
      <w:hyperlink r:id="rId15">
        <w:r>
          <w:rPr>
            <w:rStyle w:val="Hyperlink"/>
            <w:rFonts w:eastAsia="Times New Roman" w:cs="Times New Roman" w:ascii="Times New Roman" w:hAnsi="Times New Roman"/>
            <w:sz w:val="24"/>
            <w:szCs w:val="24"/>
            <w:lang w:val="pt-BR" w:eastAsia="zh-CN" w:bidi="hi-IN"/>
          </w:rPr>
          <w:t>https://www.sea.sc.gov.br/download/orientacoes-para-elaboracao-instrumentos-de-gestao-documental-de-atividades-fim/</w:t>
        </w:r>
      </w:hyperlink>
      <w:r>
        <w:rPr>
          <w:rFonts w:eastAsia="Times New Roman" w:cs="Times New Roman" w:ascii="Times New Roman" w:hAnsi="Times New Roman"/>
          <w:sz w:val="24"/>
          <w:szCs w:val="24"/>
          <w:lang w:val="pt-BR" w:eastAsia="zh-CN" w:bidi="hi-IN"/>
        </w:rPr>
        <w:t xml:space="preserve"> Acesso em: 28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eastAsia="Times New Roman" w:cs="Times New Roman" w:ascii="Times New Roman" w:hAnsi="Times New Roman"/>
          <w:sz w:val="24"/>
          <w:szCs w:val="24"/>
          <w:lang w:val="pt-BR" w:eastAsia="zh-CN" w:bidi="hi-IN"/>
        </w:rPr>
        <w:t xml:space="preserve">GIL, Antônio Carlos. </w:t>
      </w:r>
      <w:r>
        <w:rPr>
          <w:rFonts w:eastAsia="Times New Roman" w:cs="Times New Roman" w:ascii="Times New Roman" w:hAnsi="Times New Roman"/>
          <w:b/>
          <w:sz w:val="24"/>
          <w:szCs w:val="24"/>
          <w:lang w:val="pt-BR" w:eastAsia="zh-CN" w:bidi="hi-IN"/>
        </w:rPr>
        <w:t>Como elaborar projetos de pesquisa</w:t>
      </w:r>
      <w:r>
        <w:rPr>
          <w:rFonts w:eastAsia="Times New Roman" w:cs="Times New Roman" w:ascii="Times New Roman" w:hAnsi="Times New Roman"/>
          <w:sz w:val="24"/>
          <w:szCs w:val="24"/>
          <w:lang w:val="pt-BR" w:eastAsia="zh-CN" w:bidi="hi-IN"/>
        </w:rPr>
        <w:t>. São Paulo: Editora Atlas Ltda, 2017.</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JARDIM, José Maria. </w:t>
      </w:r>
      <w:r>
        <w:rPr>
          <w:rFonts w:eastAsia="Times New Roman" w:cs="Times New Roman" w:ascii="Times New Roman" w:hAnsi="Times New Roman"/>
          <w:b/>
          <w:sz w:val="24"/>
          <w:szCs w:val="24"/>
          <w:lang w:val="pt-BR" w:eastAsia="zh-CN" w:bidi="hi-IN"/>
        </w:rPr>
        <w:t>Governança arquivística: contornos para uma noção</w:t>
      </w:r>
      <w:r>
        <w:rPr>
          <w:rFonts w:eastAsia="Times New Roman" w:cs="Times New Roman" w:ascii="Times New Roman" w:hAnsi="Times New Roman"/>
          <w:sz w:val="24"/>
          <w:szCs w:val="24"/>
          <w:lang w:val="pt-BR" w:eastAsia="zh-CN" w:bidi="hi-IN"/>
        </w:rPr>
        <w:t xml:space="preserve">. In: ARQUIVO NACIONAL. Acervo: revista do Arquivo Nacional, Rio de Janeiro, v. 31, n. 3, set/dez 2018. Disponível em: </w:t>
      </w:r>
      <w:hyperlink r:id="rId16">
        <w:r>
          <w:rPr>
            <w:rStyle w:val="ListLabel1"/>
            <w:rFonts w:eastAsia="Times New Roman" w:cs="Times New Roman" w:ascii="Times New Roman" w:hAnsi="Times New Roman"/>
            <w:color w:val="1155CC"/>
            <w:sz w:val="24"/>
            <w:szCs w:val="24"/>
            <w:u w:val="single"/>
            <w:lang w:val="pt-BR" w:eastAsia="zh-CN" w:bidi="hi-IN"/>
          </w:rPr>
          <w:t>https://revista.an.gov.br/index.php/revistaacervo/article/view/987/994</w:t>
        </w:r>
      </w:hyperlink>
      <w:r>
        <w:rPr>
          <w:rFonts w:eastAsia="Times New Roman" w:cs="Times New Roman" w:ascii="Times New Roman" w:hAnsi="Times New Roman"/>
          <w:sz w:val="24"/>
          <w:szCs w:val="24"/>
          <w:lang w:val="pt-BR" w:eastAsia="zh-CN" w:bidi="hi-IN"/>
        </w:rPr>
        <w:t xml:space="preserve"> Acesso em 27 out.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NASCIMENTO, Mariana Batista do. Assunto ou tipo documental? Requisito para avaliação de documentos no âmbito da administração pública estadual. </w:t>
      </w:r>
      <w:r>
        <w:rPr>
          <w:rFonts w:eastAsia="Times New Roman" w:cs="Times New Roman" w:ascii="Times New Roman" w:hAnsi="Times New Roman"/>
          <w:b/>
          <w:bCs/>
          <w:sz w:val="24"/>
          <w:szCs w:val="24"/>
          <w:lang w:val="pt-BR" w:eastAsia="zh-CN" w:bidi="hi-IN"/>
        </w:rPr>
        <w:t>Em Questão</w:t>
      </w:r>
      <w:r>
        <w:rPr>
          <w:rFonts w:eastAsia="Times New Roman" w:cs="Times New Roman" w:ascii="Times New Roman" w:hAnsi="Times New Roman"/>
          <w:sz w:val="24"/>
          <w:szCs w:val="24"/>
          <w:lang w:val="pt-BR" w:eastAsia="zh-CN" w:bidi="hi-IN"/>
        </w:rPr>
        <w:t xml:space="preserve">, v. 31, n., 2025. Disponível em: </w:t>
      </w:r>
      <w:hyperlink r:id="rId17">
        <w:r>
          <w:rPr>
            <w:rStyle w:val="Hyperlink"/>
            <w:rFonts w:eastAsia="Times New Roman" w:cs="Times New Roman" w:ascii="Times New Roman" w:hAnsi="Times New Roman"/>
            <w:sz w:val="24"/>
            <w:szCs w:val="24"/>
            <w:lang w:val="pt-BR" w:eastAsia="zh-CN" w:bidi="hi-IN"/>
          </w:rPr>
          <w:t>https://cip.brapci.inf.br//download/329644</w:t>
        </w:r>
      </w:hyperlink>
      <w:r>
        <w:rPr>
          <w:rFonts w:eastAsia="Times New Roman" w:cs="Times New Roman" w:ascii="Times New Roman" w:hAnsi="Times New Roman"/>
          <w:sz w:val="24"/>
          <w:szCs w:val="24"/>
          <w:lang w:val="pt-BR" w:eastAsia="zh-CN" w:bidi="hi-IN"/>
        </w:rPr>
        <w:t xml:space="preserve"> . Acesso em: 28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PINHEIRO, Alejandro de Campos. A gestão de documentos arquivísticos do colégio Promove do município de Belo Horizonte: estudo de caso. </w:t>
      </w:r>
      <w:r>
        <w:rPr>
          <w:rFonts w:eastAsia="Times New Roman" w:cs="Times New Roman" w:ascii="Times New Roman" w:hAnsi="Times New Roman"/>
          <w:b/>
          <w:sz w:val="24"/>
          <w:szCs w:val="24"/>
          <w:lang w:val="pt-BR" w:eastAsia="zh-CN" w:bidi="hi-IN"/>
        </w:rPr>
        <w:t>Revista ACB: Biblioteconomia em Santa Catarina</w:t>
      </w:r>
      <w:r>
        <w:rPr>
          <w:rFonts w:eastAsia="Times New Roman" w:cs="Times New Roman" w:ascii="Times New Roman" w:hAnsi="Times New Roman"/>
          <w:sz w:val="24"/>
          <w:szCs w:val="24"/>
          <w:lang w:val="pt-BR" w:eastAsia="zh-CN" w:bidi="hi-IN"/>
        </w:rPr>
        <w:t xml:space="preserve">, Florianópolis, v. 21, n. 2, p. 323-337, abr./ jul., 2016. Disponível em: </w:t>
      </w:r>
      <w:hyperlink r:id="rId18">
        <w:r>
          <w:rPr>
            <w:rStyle w:val="ListLabel1"/>
            <w:rFonts w:eastAsia="Times New Roman" w:cs="Times New Roman" w:ascii="Times New Roman" w:hAnsi="Times New Roman"/>
            <w:color w:val="1155CC"/>
            <w:sz w:val="24"/>
            <w:szCs w:val="24"/>
            <w:u w:val="single"/>
            <w:lang w:val="pt-BR" w:eastAsia="zh-CN" w:bidi="hi-IN"/>
          </w:rPr>
          <w:t>https://cip.brapci.inf.br//download/72906</w:t>
        </w:r>
      </w:hyperlink>
      <w:r>
        <w:rPr>
          <w:rFonts w:eastAsia="Times New Roman" w:cs="Times New Roman" w:ascii="Times New Roman" w:hAnsi="Times New Roman"/>
          <w:sz w:val="24"/>
          <w:szCs w:val="24"/>
          <w:lang w:val="pt-BR" w:eastAsia="zh-CN" w:bidi="hi-IN"/>
        </w:rPr>
        <w:t xml:space="preserve"> Acesso em 1º dez. 2024.</w:t>
      </w:r>
    </w:p>
    <w:p>
      <w:pPr>
        <w:pStyle w:val="normal1"/>
        <w:spacing w:lineRule="auto" w:line="240"/>
        <w:rPr>
          <w:rFonts w:ascii="Times New Roman" w:hAnsi="Times New Roman" w:eastAsia="Times New Roman" w:cs="Times New Roman"/>
          <w:color w:val="auto"/>
          <w:sz w:val="24"/>
          <w:szCs w:val="24"/>
          <w:lang w:val="pt-BR" w:eastAsia="zh-CN" w:bidi="hi-IN"/>
        </w:rPr>
      </w:pPr>
      <w:r>
        <w:rPr>
          <w:rFonts w:eastAsia="Times New Roman" w:cs="Times New Roman" w:ascii="Times New Roman" w:hAnsi="Times New Roman"/>
          <w:color w:val="auto"/>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RODRIGUES, Ana Cecília. MELLO, Silvia Lhamas de Mello. </w:t>
      </w:r>
      <w:r>
        <w:rPr>
          <w:rFonts w:eastAsia="Times New Roman" w:cs="Times New Roman" w:ascii="Times New Roman" w:hAnsi="Times New Roman"/>
          <w:b/>
          <w:bCs/>
          <w:sz w:val="24"/>
          <w:szCs w:val="24"/>
          <w:lang w:val="pt-BR" w:eastAsia="zh-CN" w:bidi="hi-IN"/>
        </w:rPr>
        <w:t>Identificação de tipologia documental como parâmetro para classificação</w:t>
      </w:r>
      <w:r>
        <w:rPr>
          <w:rFonts w:eastAsia="Times New Roman" w:cs="Times New Roman" w:ascii="Times New Roman" w:hAnsi="Times New Roman"/>
          <w:sz w:val="24"/>
          <w:szCs w:val="24"/>
          <w:lang w:val="pt-BR" w:eastAsia="zh-CN" w:bidi="hi-IN"/>
        </w:rPr>
        <w:t xml:space="preserve">. In: ENCONTRO NACIONAL DE PESQUISA E PÓS-GRADUAÇÃO EM CIÊNCIA DA INFORMAÇÃO, 2014. </w:t>
      </w:r>
      <w:r>
        <w:rPr>
          <w:rFonts w:eastAsia="Times New Roman" w:cs="Times New Roman" w:ascii="Times New Roman" w:hAnsi="Times New Roman"/>
          <w:b/>
          <w:bCs/>
          <w:sz w:val="24"/>
          <w:szCs w:val="24"/>
          <w:lang w:val="pt-BR" w:eastAsia="zh-CN" w:bidi="hi-IN"/>
        </w:rPr>
        <w:t>Anais [...]</w:t>
      </w:r>
      <w:r>
        <w:rPr>
          <w:rFonts w:eastAsia="Times New Roman" w:cs="Times New Roman" w:ascii="Times New Roman" w:hAnsi="Times New Roman"/>
          <w:sz w:val="24"/>
          <w:szCs w:val="24"/>
          <w:lang w:val="pt-BR" w:eastAsia="zh-CN" w:bidi="hi-IN"/>
        </w:rPr>
        <w:t xml:space="preserve"> XV Encontro Nacional de Pesquisa e Pós-graduação em Ciência da Informação, 2014. Disponível em: </w:t>
      </w:r>
      <w:hyperlink r:id="rId19">
        <w:r>
          <w:rPr>
            <w:rStyle w:val="Hyperlink"/>
            <w:rFonts w:eastAsia="Times New Roman" w:cs="Times New Roman" w:ascii="Times New Roman" w:hAnsi="Times New Roman"/>
            <w:sz w:val="24"/>
            <w:szCs w:val="24"/>
            <w:lang w:val="pt-BR" w:eastAsia="zh-CN" w:bidi="hi-IN"/>
          </w:rPr>
          <w:t>https://cip.brapci.inf.br/download/185936</w:t>
        </w:r>
      </w:hyperlink>
      <w:r>
        <w:rPr>
          <w:rFonts w:eastAsia="Times New Roman" w:cs="Times New Roman" w:ascii="Times New Roman" w:hAnsi="Times New Roman"/>
          <w:sz w:val="24"/>
          <w:szCs w:val="24"/>
          <w:lang w:val="pt-BR" w:eastAsia="zh-CN" w:bidi="hi-IN"/>
        </w:rPr>
        <w:t xml:space="preserve"> Acesso em: 28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SECRETARIA DE ESTADO DA ADMINISTRAÇÃO. Gestão Documental e Padronização Oficial: O que é plano de classificação de documentos? SGDPO. 2024. Disponível em: </w:t>
      </w:r>
      <w:hyperlink r:id="rId20">
        <w:r>
          <w:rPr>
            <w:rStyle w:val="ListLabel1"/>
            <w:rFonts w:eastAsia="Times New Roman" w:cs="Times New Roman" w:ascii="Times New Roman" w:hAnsi="Times New Roman"/>
            <w:color w:val="1155CC"/>
            <w:sz w:val="24"/>
            <w:szCs w:val="24"/>
            <w:u w:val="single"/>
            <w:lang w:val="pt-BR" w:eastAsia="zh-CN" w:bidi="hi-IN"/>
          </w:rPr>
          <w:t>https://www.sea.sc.gov.br/arquivo-publico/sgdpo/</w:t>
        </w:r>
      </w:hyperlink>
      <w:r>
        <w:rPr>
          <w:rFonts w:eastAsia="Times New Roman" w:cs="Times New Roman" w:ascii="Times New Roman" w:hAnsi="Times New Roman"/>
          <w:sz w:val="24"/>
          <w:szCs w:val="24"/>
          <w:lang w:val="pt-BR" w:eastAsia="zh-CN" w:bidi="hi-IN"/>
        </w:rPr>
        <w:t xml:space="preserve"> Acesso em: 24 jul.2024.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ascii="Times New Roman" w:hAnsi="Times New Roman"/>
          <w:sz w:val="24"/>
          <w:szCs w:val="24"/>
          <w:lang w:val="pt-BR" w:eastAsia="zh-CN" w:bidi="hi-IN"/>
        </w:rPr>
        <w:t xml:space="preserve">SANTA CATARINA. </w:t>
      </w:r>
      <w:r>
        <w:rPr>
          <w:rFonts w:ascii="Times New Roman" w:hAnsi="Times New Roman"/>
          <w:b/>
          <w:bCs/>
          <w:sz w:val="24"/>
          <w:szCs w:val="24"/>
          <w:lang w:val="pt-BR" w:eastAsia="zh-CN" w:bidi="hi-IN"/>
        </w:rPr>
        <w:t>Lei</w:t>
      </w:r>
      <w:r>
        <w:rPr>
          <w:rFonts w:ascii="Times New Roman" w:hAnsi="Times New Roman"/>
          <w:b/>
          <w:sz w:val="24"/>
          <w:szCs w:val="24"/>
          <w:lang w:val="pt-BR" w:eastAsia="zh-CN" w:bidi="hi-IN"/>
        </w:rPr>
        <w:t xml:space="preserve"> nº 9.747 de 26 de novembro de 1994</w:t>
      </w:r>
      <w:r>
        <w:rPr>
          <w:rFonts w:ascii="Times New Roman" w:hAnsi="Times New Roman"/>
          <w:sz w:val="24"/>
          <w:szCs w:val="24"/>
          <w:lang w:val="pt-BR" w:eastAsia="zh-CN" w:bidi="hi-IN"/>
        </w:rPr>
        <w:t>. Dispõe sobre a avaliação e destinação dos documentos da Administração Pública Estadual,</w:t>
      </w:r>
    </w:p>
    <w:p>
      <w:pPr>
        <w:pStyle w:val="normal1"/>
        <w:spacing w:lineRule="auto" w:line="240"/>
        <w:rPr/>
      </w:pPr>
      <w:r>
        <w:rPr>
          <w:rFonts w:ascii="Times New Roman" w:hAnsi="Times New Roman"/>
          <w:sz w:val="24"/>
          <w:szCs w:val="24"/>
          <w:lang w:val="pt-BR" w:eastAsia="zh-CN" w:bidi="hi-IN"/>
        </w:rPr>
        <w:t xml:space="preserve">e dá outras providências. Florianópolis, SC: Assembleia Legislativa de SC. Disponível em: </w:t>
      </w:r>
      <w:hyperlink r:id="rId21">
        <w:r>
          <w:rPr>
            <w:rStyle w:val="Hyperlink"/>
            <w:rFonts w:ascii="Times New Roman" w:hAnsi="Times New Roman"/>
            <w:color w:val="1155CC"/>
            <w:sz w:val="24"/>
            <w:szCs w:val="24"/>
            <w:u w:val="single"/>
            <w:lang w:val="pt-BR" w:eastAsia="zh-CN" w:bidi="hi-IN"/>
          </w:rPr>
          <w:t>https://www.sea.sc.gov.br/download/lei-no-9-747-de-1994/#</w:t>
        </w:r>
      </w:hyperlink>
      <w:r>
        <w:rPr>
          <w:rFonts w:ascii="Times New Roman" w:hAnsi="Times New Roman"/>
          <w:sz w:val="24"/>
          <w:szCs w:val="24"/>
          <w:lang w:val="pt-BR" w:eastAsia="zh-CN" w:bidi="hi-IN"/>
        </w:rPr>
        <w:t xml:space="preserve"> Acesso em: 24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SANTA CATARINA. </w:t>
      </w:r>
      <w:r>
        <w:rPr>
          <w:rFonts w:eastAsia="Times New Roman" w:cs="Times New Roman" w:ascii="Times New Roman" w:hAnsi="Times New Roman"/>
          <w:b/>
          <w:bCs/>
          <w:sz w:val="24"/>
          <w:szCs w:val="24"/>
          <w:lang w:val="pt-BR" w:eastAsia="zh-CN" w:bidi="hi-IN"/>
        </w:rPr>
        <w:t>Lei nº 6.218 de 10 de fevereiro de 1983</w:t>
      </w:r>
      <w:r>
        <w:rPr>
          <w:rFonts w:eastAsia="Times New Roman" w:cs="Times New Roman" w:ascii="Times New Roman" w:hAnsi="Times New Roman"/>
          <w:sz w:val="24"/>
          <w:szCs w:val="24"/>
          <w:lang w:val="pt-BR" w:eastAsia="zh-CN" w:bidi="hi-IN"/>
        </w:rPr>
        <w:t xml:space="preserve">. Dispõe sobre o estatuto dos Policiais-Militares do Estado de Santa Catarina, e dá outras providências. Florianópolis, SC: Assembleia Legislativa de SC. Disponível em: </w:t>
      </w:r>
      <w:hyperlink r:id="rId22">
        <w:r>
          <w:rPr>
            <w:rStyle w:val="Hyperlink"/>
            <w:rFonts w:eastAsia="Times New Roman" w:cs="Times New Roman" w:ascii="Times New Roman" w:hAnsi="Times New Roman"/>
            <w:sz w:val="24"/>
            <w:szCs w:val="24"/>
            <w:lang w:val="pt-BR" w:eastAsia="zh-CN" w:bidi="hi-IN"/>
          </w:rPr>
          <w:t>https://leis.alesc.sc.gov.br/html/1983/6218_1983_Lei.html</w:t>
        </w:r>
      </w:hyperlink>
      <w:r>
        <w:rPr>
          <w:rFonts w:eastAsia="Times New Roman" w:cs="Times New Roman" w:ascii="Times New Roman" w:hAnsi="Times New Roman"/>
          <w:sz w:val="24"/>
          <w:szCs w:val="24"/>
          <w:lang w:val="pt-BR" w:eastAsia="zh-CN" w:bidi="hi-IN"/>
        </w:rPr>
        <w:t xml:space="preserve"> Acesso em: 24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SANTA CATARINA. </w:t>
      </w:r>
      <w:r>
        <w:rPr>
          <w:rFonts w:eastAsia="Times New Roman" w:cs="Times New Roman" w:ascii="Times New Roman" w:hAnsi="Times New Roman"/>
          <w:b/>
          <w:bCs/>
          <w:sz w:val="24"/>
          <w:szCs w:val="24"/>
          <w:lang w:val="pt-BR" w:eastAsia="zh-CN" w:bidi="hi-IN"/>
        </w:rPr>
        <w:t>Lei Complementar nº 724 de 18 de julho de 2018</w:t>
      </w:r>
      <w:r>
        <w:rPr>
          <w:rFonts w:eastAsia="Times New Roman" w:cs="Times New Roman" w:ascii="Times New Roman" w:hAnsi="Times New Roman"/>
          <w:sz w:val="24"/>
          <w:szCs w:val="24"/>
          <w:lang w:val="pt-BR" w:eastAsia="zh-CN" w:bidi="hi-IN"/>
        </w:rPr>
        <w:t xml:space="preserve">. Dispõe sobre a organização básica do Corpo de Bombeiros Militar de Santa Catarina (CBMSC) e estabelece outras providências. Florianópolis, SC: Assembleia Legislativa de SC. Disponível em: </w:t>
      </w:r>
      <w:r>
        <w:fldChar w:fldCharType="begin"/>
      </w:r>
      <w:r>
        <w:rPr>
          <w:rStyle w:val="Hyperlink"/>
          <w:sz w:val="24"/>
          <w:szCs w:val="24"/>
          <w:rFonts w:eastAsia="Times New Roman" w:cs="Times New Roman" w:ascii="Times New Roman" w:hAnsi="Times New Roman"/>
          <w:lang w:val="pt-BR" w:eastAsia="zh-CN" w:bidi="hi-IN"/>
        </w:rPr>
        <w:instrText xml:space="preserve"> HYPERLINK "https://leis.alesc.sc.gov.br/html/2018/724_2018_lei_complementar.html" \l ":~:text=LEI%20COMPLEMENTAR%20N%C2%BA%20724%2C%20DE%2018%20DE%20JULHO%20DE%202018&amp;text=Disp%C3%B5e%20sobre%20a%20organiza%C3%A7%C3%A3o%20b%C3%A1sica,CBMSC)e%20estabelece%20outras%20provid%C3%AAncias"</w:instrText>
      </w:r>
      <w:r>
        <w:rPr>
          <w:rStyle w:val="Hyperlink"/>
          <w:sz w:val="24"/>
          <w:szCs w:val="24"/>
          <w:rFonts w:eastAsia="Times New Roman" w:cs="Times New Roman" w:ascii="Times New Roman" w:hAnsi="Times New Roman"/>
          <w:lang w:val="pt-BR" w:eastAsia="zh-CN" w:bidi="hi-IN"/>
        </w:rPr>
        <w:fldChar w:fldCharType="separate"/>
      </w:r>
      <w:r>
        <w:rPr>
          <w:rStyle w:val="Hyperlink"/>
          <w:rFonts w:eastAsia="Times New Roman" w:cs="Times New Roman" w:ascii="Times New Roman" w:hAnsi="Times New Roman"/>
          <w:sz w:val="24"/>
          <w:szCs w:val="24"/>
          <w:lang w:val="pt-BR" w:eastAsia="zh-CN" w:bidi="hi-IN"/>
        </w:rPr>
        <w:t>https://leis.alesc.sc.gov.br/html/2018/724_2018_lei_complementar.html#:~:text=LEI%20COMPLEMENTAR%20N%C2%BA%20724%2C%20DE%2018%20DE%20JULHO%20DE%202018&amp;text=Disp%C3%B5e%20sobre%20a%20organiza%C3%A7%C3%A3o%20b%C3%A1sica,CBMSC)e%20estabelece%20outras%20provid%C3%AAncias</w:t>
      </w:r>
      <w:r>
        <w:rPr>
          <w:rStyle w:val="Hyperlink"/>
          <w:sz w:val="24"/>
          <w:szCs w:val="24"/>
          <w:rFonts w:eastAsia="Times New Roman" w:cs="Times New Roman" w:ascii="Times New Roman" w:hAnsi="Times New Roman"/>
          <w:lang w:val="pt-BR" w:eastAsia="zh-CN" w:bidi="hi-IN"/>
        </w:rPr>
        <w:fldChar w:fldCharType="end"/>
      </w:r>
      <w:r>
        <w:rPr>
          <w:rFonts w:eastAsia="Times New Roman" w:cs="Times New Roman" w:ascii="Times New Roman" w:hAnsi="Times New Roman"/>
          <w:sz w:val="24"/>
          <w:szCs w:val="24"/>
          <w:lang w:val="pt-BR" w:eastAsia="zh-CN" w:bidi="hi-IN"/>
        </w:rPr>
        <w:t>. Acesso em: 24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SANTA CATARINA. </w:t>
      </w:r>
      <w:r>
        <w:rPr>
          <w:rFonts w:eastAsia="Times New Roman" w:cs="Times New Roman" w:ascii="Times New Roman" w:hAnsi="Times New Roman"/>
          <w:b/>
          <w:sz w:val="24"/>
          <w:szCs w:val="24"/>
          <w:lang w:val="pt-BR" w:eastAsia="zh-CN" w:bidi="hi-IN"/>
        </w:rPr>
        <w:t>Decreto nº 39 de 21 de fevereiro de 2019</w:t>
      </w:r>
      <w:r>
        <w:rPr>
          <w:rFonts w:eastAsia="Times New Roman" w:cs="Times New Roman" w:ascii="Times New Roman" w:hAnsi="Times New Roman"/>
          <w:sz w:val="24"/>
          <w:szCs w:val="24"/>
          <w:lang w:val="pt-BR" w:eastAsia="zh-CN" w:bidi="hi-IN"/>
        </w:rPr>
        <w:t xml:space="preserve">. Institui o programa Governo sem papel. Florianópolis, SC: Assembleia Legislativa de SC. Disponível em: </w:t>
      </w:r>
      <w:hyperlink r:id="rId23">
        <w:r>
          <w:rPr>
            <w:rStyle w:val="ListLabel1"/>
            <w:rFonts w:eastAsia="Times New Roman" w:cs="Times New Roman" w:ascii="Times New Roman" w:hAnsi="Times New Roman"/>
            <w:color w:val="1155CC"/>
            <w:sz w:val="24"/>
            <w:szCs w:val="24"/>
            <w:u w:val="single"/>
            <w:lang w:val="pt-BR" w:eastAsia="zh-CN" w:bidi="hi-IN"/>
          </w:rPr>
          <w:t>http://server03.pge.sc.gov.br/LegislacaoEstadual/2019/000039-005-0-2019-012.htm</w:t>
        </w:r>
      </w:hyperlink>
      <w:r>
        <w:rPr>
          <w:rFonts w:eastAsia="Times New Roman" w:cs="Times New Roman" w:ascii="Times New Roman" w:hAnsi="Times New Roman"/>
          <w:sz w:val="24"/>
          <w:szCs w:val="24"/>
          <w:lang w:val="pt-BR" w:eastAsia="zh-CN" w:bidi="hi-IN"/>
        </w:rPr>
        <w:t xml:space="preserve"> Acesso em: 1º dez.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eastAsia="Times New Roman" w:cs="Times New Roman" w:ascii="Times New Roman" w:hAnsi="Times New Roman"/>
          <w:sz w:val="24"/>
          <w:szCs w:val="24"/>
          <w:lang w:val="pt-BR" w:eastAsia="zh-CN" w:bidi="hi-IN"/>
        </w:rPr>
        <w:t xml:space="preserve">SANTA CATARINA. </w:t>
      </w:r>
      <w:r>
        <w:rPr>
          <w:rFonts w:eastAsia="Times New Roman" w:cs="Times New Roman" w:ascii="Times New Roman" w:hAnsi="Times New Roman"/>
          <w:b/>
          <w:sz w:val="24"/>
          <w:szCs w:val="24"/>
          <w:lang w:val="pt-BR" w:eastAsia="zh-CN" w:bidi="hi-IN"/>
        </w:rPr>
        <w:t>Decreto nº 902 de 21 de outubro de 2020</w:t>
      </w:r>
      <w:r>
        <w:rPr>
          <w:rFonts w:eastAsia="Times New Roman" w:cs="Times New Roman" w:ascii="Times New Roman" w:hAnsi="Times New Roman"/>
          <w:sz w:val="24"/>
          <w:szCs w:val="24"/>
          <w:lang w:val="pt-BR" w:eastAsia="zh-CN" w:bidi="hi-IN"/>
        </w:rPr>
        <w:t xml:space="preserve">. Dispõe sobre o Sistema Administrativo de Gestão Documental e Publicação Oficial e estabelece outras providências., SC: Assembleia Legislativa de SC. Disponível em: </w:t>
      </w:r>
      <w:r>
        <w:rPr>
          <w:rFonts w:eastAsia="Times New Roman" w:cs="Times New Roman" w:ascii="Times New Roman" w:hAnsi="Times New Roman"/>
          <w:color w:val="1155CC"/>
          <w:sz w:val="24"/>
          <w:szCs w:val="24"/>
          <w:u w:val="single"/>
          <w:lang w:val="pt-BR" w:eastAsia="zh-CN" w:bidi="hi-IN"/>
        </w:rPr>
        <w:t>https://leisestaduais.com.br/sc/decreto-n-902-2020-santa-catarina-dispoe-sobre-o-sistema-administrativo-de-gestao-documental-e-publicacao-oficial-e-estabelece-outras-providencias</w:t>
      </w:r>
      <w:r>
        <w:rPr>
          <w:rFonts w:eastAsia="Times New Roman" w:cs="Times New Roman" w:ascii="Times New Roman" w:hAnsi="Times New Roman"/>
          <w:sz w:val="24"/>
          <w:szCs w:val="24"/>
          <w:lang w:val="pt-BR" w:eastAsia="zh-CN" w:bidi="hi-IN"/>
        </w:rPr>
        <w:t xml:space="preserve"> Acesso em: 28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rFonts w:ascii="Times New Roman" w:hAnsi="Times New Roman"/>
        </w:rPr>
      </w:pPr>
      <w:r>
        <w:rPr>
          <w:rFonts w:ascii="Times New Roman" w:hAnsi="Times New Roman"/>
          <w:sz w:val="24"/>
          <w:szCs w:val="24"/>
          <w:lang w:val="pt-BR" w:eastAsia="zh-CN" w:bidi="hi-IN"/>
        </w:rPr>
        <w:t xml:space="preserve">SANTA CATARINA. </w:t>
      </w:r>
      <w:r>
        <w:rPr>
          <w:rFonts w:ascii="Times New Roman" w:hAnsi="Times New Roman"/>
          <w:b/>
          <w:sz w:val="24"/>
          <w:szCs w:val="24"/>
          <w:lang w:val="pt-BR" w:eastAsia="zh-CN" w:bidi="hi-IN"/>
        </w:rPr>
        <w:t>Decreto nº 1.328 de 14 de junho de 2021</w:t>
      </w:r>
      <w:r>
        <w:rPr>
          <w:rFonts w:ascii="Times New Roman" w:hAnsi="Times New Roman"/>
          <w:sz w:val="24"/>
          <w:szCs w:val="24"/>
          <w:lang w:val="pt-BR" w:eastAsia="zh-CN" w:bidi="hi-IN"/>
        </w:rPr>
        <w:t xml:space="preserve">. Regulamenta a Lei Complementar nº 724 de2018, que dispõe sobre a Organização Básica do Corpo de Bombeiros Militar do Estado de Santa Catarina (CBMSC) e estabelece outras providências. Florianópolis, SC: Assembleia Legislativa de SC. Disponível em: </w:t>
      </w:r>
      <w:r>
        <w:rPr>
          <w:rFonts w:ascii="Times New Roman" w:hAnsi="Times New Roman"/>
          <w:color w:val="1155CC"/>
          <w:sz w:val="24"/>
          <w:szCs w:val="24"/>
          <w:u w:val="single"/>
          <w:lang w:val="pt-BR" w:eastAsia="zh-CN" w:bidi="hi-IN"/>
        </w:rPr>
        <w:t>https://leisestaduais.com.br/sc/decreto-n-1328-2021-santa-catarina-regulamenta-a-lei-complementar-no-724-de-2018-que-dispoe-sobre-a-organizacao-basica-do-corpo-de-bombeiros-militar-do-estado-de-santa-catarina-cbmsc-e-estabelece-outras-providencias</w:t>
      </w:r>
      <w:r>
        <w:rPr>
          <w:rFonts w:ascii="Times New Roman" w:hAnsi="Times New Roman"/>
          <w:sz w:val="24"/>
          <w:szCs w:val="24"/>
          <w:lang w:val="pt-BR" w:eastAsia="zh-CN" w:bidi="hi-IN"/>
        </w:rPr>
        <w:t xml:space="preserve"> Acesso em: 24 maio 2025.</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2, de 9 de janeiro de 2006</w:t>
      </w:r>
      <w:r>
        <w:rPr>
          <w:rFonts w:eastAsia="Times New Roman" w:cs="Times New Roman" w:ascii="Times New Roman" w:hAnsi="Times New Roman"/>
          <w:sz w:val="24"/>
          <w:szCs w:val="24"/>
          <w:lang w:val="pt-BR" w:eastAsia="zh-CN" w:bidi="hi-IN"/>
        </w:rPr>
        <w:t xml:space="preserve">. Orienta quanto aos procedimentos relativos à organização e transferência da documentação oficial recebida e produzida pela Administração Direta, Autarquias e Fundações. Florianópolis, SC. Secretaria de Estado da Administração, [2006]. Disponível em: </w:t>
      </w:r>
      <w:hyperlink r:id="rId24">
        <w:r>
          <w:rPr>
            <w:rStyle w:val="ListLabel1"/>
            <w:rFonts w:eastAsia="Times New Roman" w:cs="Times New Roman" w:ascii="Times New Roman" w:hAnsi="Times New Roman"/>
            <w:color w:val="1155CC"/>
            <w:sz w:val="24"/>
            <w:szCs w:val="24"/>
            <w:u w:val="single"/>
            <w:lang w:val="pt-BR" w:eastAsia="zh-CN" w:bidi="hi-IN"/>
          </w:rPr>
          <w:t>https://www.sea.sc.gov.br/download/instrucao-no-02-de-2006-sea/</w:t>
        </w:r>
      </w:hyperlink>
      <w:r>
        <w:rPr>
          <w:rFonts w:eastAsia="Times New Roman" w:cs="Times New Roman" w:ascii="Times New Roman" w:hAnsi="Times New Roman"/>
          <w:sz w:val="24"/>
          <w:szCs w:val="24"/>
          <w:lang w:val="pt-BR" w:eastAsia="zh-CN" w:bidi="hi-IN"/>
        </w:rPr>
        <w:t xml:space="preserve"> .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10, de 4 de dezembro de 2006</w:t>
      </w:r>
      <w:r>
        <w:rPr>
          <w:rFonts w:eastAsia="Times New Roman" w:cs="Times New Roman" w:ascii="Times New Roman" w:hAnsi="Times New Roman"/>
          <w:sz w:val="24"/>
          <w:szCs w:val="24"/>
          <w:lang w:val="pt-BR" w:eastAsia="zh-CN" w:bidi="hi-IN"/>
        </w:rPr>
        <w:t xml:space="preserve">. Dispõe sobre a Gestão de Documentos digitais em programas informatizados produzidos pela Administração Direta, Autarquias e Fundações, visando racionalizar e preservar o patrimônio Arquivístico Digital. Florianópolis, SC. Secretaria de Estado da Administração [2006]. Disponível em: </w:t>
      </w:r>
      <w:hyperlink r:id="rId25">
        <w:r>
          <w:rPr>
            <w:rStyle w:val="ListLabel1"/>
            <w:rFonts w:eastAsia="Times New Roman" w:cs="Times New Roman" w:ascii="Times New Roman" w:hAnsi="Times New Roman"/>
            <w:color w:val="1155CC"/>
            <w:sz w:val="24"/>
            <w:szCs w:val="24"/>
            <w:u w:val="single"/>
            <w:lang w:val="pt-BR" w:eastAsia="zh-CN" w:bidi="hi-IN"/>
          </w:rPr>
          <w:t>https://www.sea.sc.gov.br/download/instrucao-no-10-de-2006-sea/</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9, de 5 de outubro de 2007</w:t>
      </w:r>
      <w:r>
        <w:rPr>
          <w:rFonts w:eastAsia="Times New Roman" w:cs="Times New Roman" w:ascii="Times New Roman" w:hAnsi="Times New Roman"/>
          <w:sz w:val="24"/>
          <w:szCs w:val="24"/>
          <w:lang w:val="pt-BR" w:eastAsia="zh-CN" w:bidi="hi-IN"/>
        </w:rPr>
        <w:t xml:space="preserve">. Orienta quanto aos procedimentos relativos à destinação da documentação oficial produzida e recebida pela Administração Direta, Autarquias e Fundações Estaduais e das medidas a serem observadas no recolhimento dos documentos permanentes para Diretoria de Gestão Documental/Arquivo Público do Estado, visando a otimização da utilização dos espaços, a racionalização, a sistematização da organização das massas documentais nos órgãos, garantindo a preservação do patrimônio documental e o acesso às informações. Florianópolis, SC. Secretaria de Estado da Administração [2007]. Disponível em: </w:t>
      </w:r>
      <w:hyperlink r:id="rId26">
        <w:r>
          <w:rPr>
            <w:rStyle w:val="ListLabel1"/>
            <w:rFonts w:eastAsia="Times New Roman" w:cs="Times New Roman" w:ascii="Times New Roman" w:hAnsi="Times New Roman"/>
            <w:color w:val="1155CC"/>
            <w:sz w:val="24"/>
            <w:szCs w:val="24"/>
            <w:u w:val="single"/>
            <w:lang w:val="pt-BR" w:eastAsia="zh-CN" w:bidi="hi-IN"/>
          </w:rPr>
          <w:t>https://www.sea.sc.gov.br/download/instrucao-no-09-de-2007-sea/</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18, de 25 de novembro de 2008</w:t>
      </w:r>
      <w:r>
        <w:rPr>
          <w:rFonts w:eastAsia="Times New Roman" w:cs="Times New Roman" w:ascii="Times New Roman" w:hAnsi="Times New Roman"/>
          <w:sz w:val="24"/>
          <w:szCs w:val="24"/>
          <w:lang w:val="pt-BR" w:eastAsia="zh-CN" w:bidi="hi-IN"/>
        </w:rPr>
        <w:t xml:space="preserve">. Orienta sobre os procedimentos relativos ao Plano de Classificação de Documentos de Arquivo do Estado de Santa Catarina e da Tabela de Temporalidade e Destinação de Documentos de Arquivo. Florianópolis, SC. Secretaria de Estado da Administração, [2008]. Disponível em: </w:t>
      </w:r>
      <w:hyperlink r:id="rId27">
        <w:r>
          <w:rPr>
            <w:rStyle w:val="ListLabel1"/>
            <w:rFonts w:eastAsia="Times New Roman" w:cs="Times New Roman" w:ascii="Times New Roman" w:hAnsi="Times New Roman"/>
            <w:color w:val="1155CC"/>
            <w:sz w:val="24"/>
            <w:szCs w:val="24"/>
            <w:u w:val="single"/>
            <w:lang w:val="pt-BR" w:eastAsia="zh-CN" w:bidi="hi-IN"/>
          </w:rPr>
          <w:t>https://www.sea.sc.gov.br/download/instrucao-no-18-de-2008-sea/</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3, de 1º de março de 2019</w:t>
      </w:r>
      <w:r>
        <w:rPr>
          <w:rFonts w:eastAsia="Times New Roman" w:cs="Times New Roman" w:ascii="Times New Roman" w:hAnsi="Times New Roman"/>
          <w:sz w:val="24"/>
          <w:szCs w:val="24"/>
          <w:lang w:val="pt-BR" w:eastAsia="zh-CN" w:bidi="hi-IN"/>
        </w:rPr>
        <w:t xml:space="preserve">. Funcionamento e utilização do Sistema de Gestão de Processos Eletrônicos– SGPe. Florianópolis, SC. Secretaria de Estado da Administração, [2019]. Disponível em: </w:t>
      </w:r>
      <w:hyperlink r:id="rId28">
        <w:r>
          <w:rPr>
            <w:rStyle w:val="ListLabel1"/>
            <w:rFonts w:eastAsia="Times New Roman" w:cs="Times New Roman" w:ascii="Times New Roman" w:hAnsi="Times New Roman"/>
            <w:color w:val="1155CC"/>
            <w:sz w:val="24"/>
            <w:szCs w:val="24"/>
            <w:u w:val="single"/>
            <w:lang w:val="pt-BR" w:eastAsia="zh-CN" w:bidi="hi-IN"/>
          </w:rPr>
          <w:t>https://www.sea.sc.gov.br/download/instrucao-no-03-de-2019-sea/</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7, de 25 de junho de 2021</w:t>
      </w:r>
      <w:r>
        <w:rPr>
          <w:rFonts w:eastAsia="Times New Roman" w:cs="Times New Roman" w:ascii="Times New Roman" w:hAnsi="Times New Roman"/>
          <w:sz w:val="24"/>
          <w:szCs w:val="24"/>
          <w:lang w:val="pt-BR" w:eastAsia="zh-CN" w:bidi="hi-IN"/>
        </w:rPr>
        <w:t xml:space="preserve">. Orienta sobre os procedimentos para a digitalização e substituição de documentos arquivísticos originais em suporte físico por sua versão digitalizada no âmbito dos órgãos e entidades da Administração Pública Estadual. Florianópolis, SC. Secretaria de Estado da Administração, [2021]. Disponível em: </w:t>
      </w:r>
      <w:hyperlink r:id="rId29">
        <w:r>
          <w:rPr>
            <w:rStyle w:val="ListLabel1"/>
            <w:rFonts w:eastAsia="Times New Roman" w:cs="Times New Roman" w:ascii="Times New Roman" w:hAnsi="Times New Roman"/>
            <w:color w:val="1155CC"/>
            <w:sz w:val="24"/>
            <w:szCs w:val="24"/>
            <w:u w:val="single"/>
            <w:lang w:val="pt-BR" w:eastAsia="zh-CN" w:bidi="hi-IN"/>
          </w:rPr>
          <w:t>https://www.sea.sc.gov.br/download/instrucao-no-07-de-2021-sea/</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5, de 29 de abril de 2024</w:t>
      </w:r>
      <w:r>
        <w:rPr>
          <w:rFonts w:eastAsia="Times New Roman" w:cs="Times New Roman" w:ascii="Times New Roman" w:hAnsi="Times New Roman"/>
          <w:sz w:val="24"/>
          <w:szCs w:val="24"/>
          <w:lang w:val="pt-BR" w:eastAsia="zh-CN" w:bidi="hi-IN"/>
        </w:rPr>
        <w:t xml:space="preserve">. Orienta sobre o procedimento de recolhimento de documentos públicos de valor permanente ao Arquivo Público do Estado de Santa Catarina, no âmbito dos órgãos e entidades da Administração Pública Estadual. Florianópolis, SC. Secretaria de Estado da Administração, [2024]. Disponível em: </w:t>
      </w:r>
      <w:hyperlink r:id="rId30">
        <w:r>
          <w:rPr>
            <w:rStyle w:val="ListLabel1"/>
            <w:rFonts w:eastAsia="Times New Roman" w:cs="Times New Roman" w:ascii="Times New Roman" w:hAnsi="Times New Roman"/>
            <w:color w:val="1155CC"/>
            <w:sz w:val="24"/>
            <w:szCs w:val="24"/>
            <w:u w:val="single"/>
            <w:lang w:val="pt-BR" w:eastAsia="zh-CN" w:bidi="hi-IN"/>
          </w:rPr>
          <w:t>https://www.sea.sc.gov.br/download/in-n-5-2024-procedimento-de-recolhimento-de-documentos-publicos-de-valor-permanente-ao-arquivo-publico-do-estado-de-santa-catarina-no-ambito-dos-orgaos-e-entidades-da-administracao-publica-es/</w:t>
        </w:r>
      </w:hyperlink>
      <w:r>
        <w:rPr>
          <w:rFonts w:eastAsia="Times New Roman" w:cs="Times New Roman" w:ascii="Times New Roman" w:hAnsi="Times New Roman"/>
          <w:sz w:val="24"/>
          <w:szCs w:val="24"/>
          <w:lang w:val="pt-BR" w:eastAsia="zh-CN" w:bidi="hi-IN"/>
        </w:rPr>
        <w:t xml:space="preserve"> .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8, de 20 de agosto de 2024</w:t>
      </w:r>
      <w:r>
        <w:rPr>
          <w:rFonts w:eastAsia="Times New Roman" w:cs="Times New Roman" w:ascii="Times New Roman" w:hAnsi="Times New Roman"/>
          <w:sz w:val="24"/>
          <w:szCs w:val="24"/>
          <w:lang w:val="pt-BR" w:eastAsia="zh-CN" w:bidi="hi-IN"/>
        </w:rPr>
        <w:t xml:space="preserve">. Orienta quanto às atribuições da Comissão Permanente de Avaliação de Documentos no âmbito dos respectivos órgãos setoriais e seccionais integrantes do Sistema Administrativo de Gestão Documental e Publicação Oficial. Florianópolis, SC. Secretaria de Estado da Administração, [2024]. Disponível em: </w:t>
      </w:r>
      <w:hyperlink r:id="rId31">
        <w:r>
          <w:rPr>
            <w:rStyle w:val="ListLabel1"/>
            <w:rFonts w:eastAsia="Times New Roman" w:cs="Times New Roman" w:ascii="Times New Roman" w:hAnsi="Times New Roman"/>
            <w:color w:val="1155CC"/>
            <w:sz w:val="24"/>
            <w:szCs w:val="24"/>
            <w:u w:val="single"/>
            <w:lang w:val="pt-BR" w:eastAsia="zh-CN" w:bidi="hi-IN"/>
          </w:rPr>
          <w:t>https://www.sea.sc.gov.br/download/in-n-8-2024-atribuicoes-da-comissao-permanente-de-avaliacao-de-documentos-no-ambito-dos-respectivos-orgaos-setoriais-e-seccionais/</w:t>
        </w:r>
      </w:hyperlink>
      <w:r>
        <w:rPr>
          <w:rFonts w:eastAsia="Times New Roman" w:cs="Times New Roman" w:ascii="Times New Roman" w:hAnsi="Times New Roman"/>
          <w:sz w:val="24"/>
          <w:szCs w:val="24"/>
          <w:lang w:val="pt-BR" w:eastAsia="zh-CN" w:bidi="hi-IN"/>
        </w:rPr>
        <w:t xml:space="preserve"> .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SANTA CATARINA.</w:t>
      </w:r>
      <w:r>
        <w:rPr>
          <w:rFonts w:eastAsia="Times New Roman" w:cs="Times New Roman" w:ascii="Times New Roman" w:hAnsi="Times New Roman"/>
          <w:b/>
          <w:sz w:val="24"/>
          <w:szCs w:val="24"/>
          <w:lang w:val="pt-BR" w:eastAsia="zh-CN" w:bidi="hi-IN"/>
        </w:rPr>
        <w:t xml:space="preserve"> Instrução Normativa nº 10, de 22 de novembro de 2024</w:t>
      </w:r>
      <w:r>
        <w:rPr>
          <w:rFonts w:eastAsia="Times New Roman" w:cs="Times New Roman" w:ascii="Times New Roman" w:hAnsi="Times New Roman"/>
          <w:sz w:val="24"/>
          <w:szCs w:val="24"/>
          <w:lang w:val="pt-BR" w:eastAsia="zh-CN" w:bidi="hi-IN"/>
        </w:rPr>
        <w:t xml:space="preserve">. Orienta sobre os procedimentos para a eliminação de documentos e seleção de amostras no âmbito dos órgãos e entidades da Administração Pública Estadual. Florianópolis, SC. Secretaria de Estado da Administração, [2024]. Disponível em: </w:t>
      </w:r>
      <w:hyperlink r:id="rId32">
        <w:r>
          <w:rPr>
            <w:rStyle w:val="ListLabel1"/>
            <w:rFonts w:eastAsia="Times New Roman" w:cs="Times New Roman" w:ascii="Times New Roman" w:hAnsi="Times New Roman"/>
            <w:color w:val="1155CC"/>
            <w:sz w:val="24"/>
            <w:szCs w:val="24"/>
            <w:u w:val="single"/>
            <w:lang w:val="pt-BR" w:eastAsia="zh-CN" w:bidi="hi-IN"/>
          </w:rPr>
          <w:t>https://www.sea.sc.gov.br/download/in-no-2-2024-sea-orienta-sobre-os-procedimentos-para-a-eliminacao-de-documentos-e-selecao-de-amostras-no-ambito-dos-orgaos-e-entidades-da-administracao-publica-estadual/</w:t>
        </w:r>
      </w:hyperlink>
      <w:r>
        <w:rPr>
          <w:rFonts w:eastAsia="Times New Roman" w:cs="Times New Roman" w:ascii="Times New Roman" w:hAnsi="Times New Roman"/>
          <w:sz w:val="24"/>
          <w:szCs w:val="24"/>
          <w:lang w:val="pt-BR" w:eastAsia="zh-CN" w:bidi="hi-IN"/>
        </w:rPr>
        <w:t>. Acesso em: 26 jun. 2024.</w:t>
      </w:r>
    </w:p>
    <w:p>
      <w:pPr>
        <w:pStyle w:val="normal1"/>
        <w:spacing w:lineRule="auto" w:line="240"/>
        <w:rPr>
          <w:rFonts w:ascii="Times New Roman" w:hAnsi="Times New Roman" w:eastAsia="Times New Roman" w:cs="Times New Roman"/>
          <w:sz w:val="24"/>
          <w:szCs w:val="24"/>
          <w:lang w:val="pt-BR" w:eastAsia="zh-CN" w:bidi="hi-IN"/>
        </w:rPr>
      </w:pPr>
      <w:r>
        <w:rPr>
          <w:rFonts w:eastAsia="Times New Roman" w:cs="Times New Roman" w:ascii="Times New Roman" w:hAnsi="Times New Roman"/>
          <w:sz w:val="24"/>
          <w:szCs w:val="24"/>
          <w:lang w:val="pt-BR" w:eastAsia="zh-CN" w:bidi="hi-IN"/>
        </w:rPr>
      </w:r>
    </w:p>
    <w:p>
      <w:pPr>
        <w:pStyle w:val="normal1"/>
        <w:spacing w:lineRule="auto" w:line="240"/>
        <w:rPr/>
      </w:pPr>
      <w:r>
        <w:rPr>
          <w:rFonts w:eastAsia="Times New Roman" w:cs="Times New Roman" w:ascii="Times New Roman" w:hAnsi="Times New Roman"/>
          <w:sz w:val="24"/>
          <w:szCs w:val="24"/>
          <w:lang w:val="pt-BR" w:eastAsia="zh-CN" w:bidi="hi-IN"/>
        </w:rPr>
        <w:t xml:space="preserve">VALENTIM, Raquel Torrão. Novos lugares, velhos problemas: massas documentais acumuladas em ambiente digital. </w:t>
      </w:r>
      <w:r>
        <w:rPr>
          <w:rFonts w:eastAsia="Times New Roman" w:cs="Times New Roman" w:ascii="Times New Roman" w:hAnsi="Times New Roman"/>
          <w:b/>
          <w:bCs/>
          <w:sz w:val="24"/>
          <w:szCs w:val="24"/>
          <w:lang w:val="pt-BR" w:eastAsia="zh-CN" w:bidi="hi-IN"/>
        </w:rPr>
        <w:t>OFFICINA - Revista da Associação de Arquivistas de São Paulo</w:t>
      </w:r>
      <w:r>
        <w:rPr>
          <w:rFonts w:eastAsia="Times New Roman" w:cs="Times New Roman" w:ascii="Times New Roman" w:hAnsi="Times New Roman"/>
          <w:sz w:val="24"/>
          <w:szCs w:val="24"/>
          <w:lang w:val="pt-BR" w:eastAsia="zh-CN" w:bidi="hi-IN"/>
        </w:rPr>
        <w:t xml:space="preserve">, v. 2, n. 2, 2023. </w:t>
      </w:r>
      <w:r>
        <w:rPr>
          <w:rStyle w:val="Hyperlink"/>
          <w:rFonts w:eastAsia="Times New Roman" w:cs="Times New Roman" w:ascii="Times New Roman" w:hAnsi="Times New Roman"/>
          <w:color w:val="1155CC"/>
          <w:sz w:val="24"/>
          <w:szCs w:val="24"/>
          <w:u w:val="single"/>
          <w:lang w:val="pt-BR" w:eastAsia="zh-CN" w:bidi="hi-IN"/>
        </w:rPr>
        <w:t>https://cip.brapci.inf.br//download/253108</w:t>
      </w:r>
    </w:p>
    <w:p>
      <w:pPr>
        <w:sectPr>
          <w:headerReference w:type="even" r:id="rId33"/>
          <w:headerReference w:type="default" r:id="rId34"/>
          <w:headerReference w:type="first" r:id="rId35"/>
          <w:footnotePr>
            <w:numFmt w:val="decimal"/>
          </w:footnotePr>
          <w:type w:val="nextPage"/>
          <w:pgSz w:w="11906" w:h="16838"/>
          <w:pgMar w:left="1701" w:right="1134" w:gutter="0" w:header="1134" w:top="1401" w:footer="0" w:bottom="1134"/>
          <w:pgNumType w:start="1" w:fmt="decimal"/>
          <w:formProt w:val="false"/>
          <w:titlePg/>
          <w:textDirection w:val="lrTb"/>
          <w:docGrid w:type="default" w:linePitch="100" w:charSpace="0"/>
        </w:sectPr>
        <w:pStyle w:val="normal1"/>
        <w:spacing w:lineRule="auto" w:line="240"/>
        <w:rPr>
          <w:rStyle w:val="Hyperlink"/>
          <w:rFonts w:ascii="Times New Roman" w:hAnsi="Times New Roman" w:eastAsia="Times New Roman" w:cs="Times New Roman"/>
          <w:color w:val="1155CC"/>
          <w:sz w:val="24"/>
          <w:szCs w:val="24"/>
          <w:u w:val="single"/>
          <w:lang w:val="pt-BR" w:eastAsia="zh-CN" w:bidi="hi-IN"/>
        </w:rPr>
      </w:pPr>
      <w:r>
        <w:rPr>
          <w:rFonts w:eastAsia="Times New Roman" w:cs="Times New Roman" w:ascii="Times New Roman" w:hAnsi="Times New Roman"/>
          <w:color w:val="1155CC"/>
          <w:sz w:val="24"/>
          <w:szCs w:val="24"/>
          <w:u w:val="single"/>
          <w:lang w:val="pt-BR" w:eastAsia="zh-CN" w:bidi="hi-IN"/>
        </w:rPr>
      </w:r>
    </w:p>
    <w:p>
      <w:pPr>
        <w:pStyle w:val="normal1"/>
        <w:spacing w:lineRule="auto" w:line="240"/>
        <w:rPr>
          <w:rFonts w:ascii="Times New Roman" w:hAnsi="Times New Roman" w:eastAsia="Times New Roman" w:cs="Times New Roman"/>
          <w:color w:val="38761D"/>
          <w:sz w:val="24"/>
          <w:szCs w:val="24"/>
          <w:lang w:val="pt-BR" w:eastAsia="zh-CN" w:bidi="hi-IN"/>
        </w:rPr>
      </w:pPr>
      <w:r>
        <w:rPr/>
      </w:r>
    </w:p>
    <w:p>
      <w:pPr>
        <w:pStyle w:val="normal1"/>
        <w:jc w:val="center"/>
        <w:rPr>
          <w:lang w:val="pt-BR"/>
        </w:rPr>
      </w:pPr>
      <w:r>
        <w:rPr>
          <w:rFonts w:eastAsia="Times New Roman" w:cs="Times New Roman" w:ascii="Times New Roman" w:hAnsi="Times New Roman"/>
          <w:b/>
          <w:color w:val="auto"/>
          <w:sz w:val="24"/>
          <w:szCs w:val="24"/>
          <w:lang w:val="pt-BR" w:eastAsia="zh-CN" w:bidi="hi-IN"/>
        </w:rPr>
        <w:t>APÊNDICE A - MODELO LEVANTAMENTO ELABORAÇÃO DA TTDD</w:t>
      </w:r>
    </w:p>
    <w:p>
      <w:pPr>
        <w:pStyle w:val="normal1"/>
        <w:jc w:val="both"/>
        <w:rPr>
          <w:rFonts w:ascii="Times New Roman" w:hAnsi="Times New Roman" w:eastAsia="Times New Roman" w:cs="Times New Roman"/>
          <w:color w:val="38761D"/>
          <w:sz w:val="24"/>
          <w:szCs w:val="24"/>
          <w:lang w:val="pt-BR" w:eastAsia="zh-CN" w:bidi="hi-IN"/>
        </w:rPr>
      </w:pPr>
      <w:r>
        <w:rPr>
          <w:rFonts w:eastAsia="Times New Roman" w:cs="Times New Roman" w:ascii="Times New Roman" w:hAnsi="Times New Roman"/>
          <w:color w:val="38761D"/>
          <w:sz w:val="24"/>
          <w:szCs w:val="24"/>
          <w:lang w:val="pt-BR" w:eastAsia="zh-CN" w:bidi="hi-IN"/>
        </w:rPr>
      </w:r>
    </w:p>
    <w:p>
      <w:pPr>
        <w:pStyle w:val="normal1"/>
        <w:jc w:val="both"/>
        <w:rPr>
          <w:lang w:val="pt-BR"/>
        </w:rPr>
      </w:pPr>
      <w:r>
        <w:rPr/>
        <w:drawing>
          <wp:inline distT="0" distB="0" distL="0" distR="0">
            <wp:extent cx="9275445" cy="4869180"/>
            <wp:effectExtent l="0" t="0" r="0" b="0"/>
            <wp:docPr id="4"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
                    <pic:cNvPicPr>
                      <a:picLocks noChangeAspect="1" noChangeArrowheads="1"/>
                    </pic:cNvPicPr>
                  </pic:nvPicPr>
                  <pic:blipFill>
                    <a:blip r:embed="rId36"/>
                    <a:stretch>
                      <a:fillRect/>
                    </a:stretch>
                  </pic:blipFill>
                  <pic:spPr bwMode="auto">
                    <a:xfrm>
                      <a:off x="0" y="0"/>
                      <a:ext cx="9275445" cy="4869180"/>
                    </a:xfrm>
                    <a:prstGeom prst="rect">
                      <a:avLst/>
                    </a:prstGeom>
                  </pic:spPr>
                </pic:pic>
              </a:graphicData>
            </a:graphic>
          </wp:inline>
        </w:drawing>
      </w:r>
    </w:p>
    <w:p>
      <w:pPr>
        <w:pStyle w:val="normal1"/>
        <w:jc w:val="both"/>
        <w:rPr>
          <w:rFonts w:ascii="Times New Roman" w:hAnsi="Times New Roman" w:eastAsia="Times New Roman" w:cs="Times New Roman"/>
          <w:color w:val="38761D"/>
          <w:sz w:val="24"/>
          <w:szCs w:val="24"/>
          <w:lang w:val="pt-BR" w:eastAsia="zh-CN" w:bidi="hi-IN"/>
        </w:rPr>
      </w:pPr>
      <w:r>
        <w:rPr>
          <w:rFonts w:eastAsia="Times New Roman" w:cs="Times New Roman" w:ascii="Times New Roman" w:hAnsi="Times New Roman"/>
          <w:color w:val="38761D"/>
          <w:sz w:val="24"/>
          <w:szCs w:val="24"/>
          <w:lang w:val="pt-BR" w:eastAsia="zh-CN" w:bidi="hi-IN"/>
        </w:rPr>
      </w:r>
      <w:r>
        <w:br w:type="page"/>
      </w:r>
    </w:p>
    <w:p>
      <w:pPr>
        <w:pStyle w:val="BodyText"/>
        <w:spacing w:lineRule="auto" w:line="240" w:before="0" w:after="0"/>
        <w:ind w:hanging="0"/>
        <w:jc w:val="center"/>
        <w:rPr>
          <w:lang w:val="pt-BR"/>
        </w:rPr>
      </w:pPr>
      <w:r>
        <w:rPr>
          <w:b/>
          <w:bCs/>
          <w:sz w:val="24"/>
          <w:szCs w:val="24"/>
          <w:lang w:val="pt-BR" w:eastAsia="zh-CN" w:bidi="hi-IN"/>
        </w:rPr>
        <w:t>APÊNDICE B – PRIMEIRA TABELA DE TEMPORALIDADE DE DOCUMENTOS DO CBMSC</w:t>
      </w:r>
    </w:p>
    <w:p>
      <w:pPr>
        <w:pStyle w:val="BodyText"/>
        <w:spacing w:lineRule="auto" w:line="240" w:before="0" w:after="0"/>
        <w:ind w:hanging="0"/>
        <w:rPr>
          <w:lang w:val="pt-BR" w:eastAsia="zh-CN" w:bidi="hi-IN"/>
        </w:rPr>
      </w:pPr>
      <w:r>
        <w:rPr>
          <w:lang w:val="pt-BR" w:eastAsia="zh-CN" w:bidi="hi-IN"/>
        </w:rPr>
      </w:r>
    </w:p>
    <w:p>
      <w:pPr>
        <w:pStyle w:val="normal1"/>
        <w:spacing w:lineRule="auto" w:line="276" w:before="0" w:after="0"/>
        <w:ind w:hanging="0"/>
        <w:jc w:val="center"/>
        <w:rPr>
          <w:sz w:val="20"/>
          <w:szCs w:val="20"/>
        </w:rPr>
      </w:pPr>
      <w:r>
        <w:rPr>
          <w:rFonts w:eastAsia="Times New Roman" w:cs="Times New Roman" w:ascii="Times New Roman" w:hAnsi="Times New Roman"/>
          <w:b/>
          <w:bCs/>
          <w:color w:val="auto"/>
          <w:sz w:val="20"/>
          <w:szCs w:val="20"/>
          <w:lang w:val="pt-BR" w:eastAsia="zh-CN" w:bidi="hi-IN"/>
        </w:rPr>
        <w:t>TABELA DE TEMPORALIDADE DE DOCUMENTOS DE ARQUIVO DO ESTADO DE SANTA CATARINA – Atividade Fim</w:t>
      </w:r>
    </w:p>
    <w:p>
      <w:pPr>
        <w:pStyle w:val="normal1"/>
        <w:spacing w:lineRule="auto" w:line="276" w:before="0" w:after="0"/>
        <w:ind w:hanging="0"/>
        <w:jc w:val="center"/>
        <w:rPr>
          <w:sz w:val="20"/>
          <w:szCs w:val="20"/>
        </w:rPr>
      </w:pPr>
      <w:r>
        <w:rPr>
          <w:rFonts w:eastAsia="Times New Roman" w:cs="Times New Roman" w:ascii="Times New Roman" w:hAnsi="Times New Roman"/>
          <w:b w:val="false"/>
          <w:bCs w:val="false"/>
          <w:color w:val="auto"/>
          <w:sz w:val="20"/>
          <w:szCs w:val="20"/>
          <w:lang w:val="pt-BR" w:eastAsia="zh-CN" w:bidi="hi-IN"/>
        </w:rPr>
        <w:t>(DOE/SC Nº 18.916, Pág. 23, Publicação 23/08/2010)</w:t>
      </w:r>
    </w:p>
    <w:p>
      <w:pPr>
        <w:pStyle w:val="normal1"/>
        <w:spacing w:lineRule="auto" w:line="276" w:before="0" w:after="0"/>
        <w:ind w:hanging="0"/>
        <w:jc w:val="both"/>
        <w:rPr>
          <w:rFonts w:ascii="Times New Roman" w:hAnsi="Times New Roman" w:eastAsia="Times New Roman" w:cs="Times New Roman"/>
          <w:b w:val="false"/>
          <w:bCs w:val="false"/>
          <w:color w:val="auto"/>
          <w:sz w:val="20"/>
          <w:szCs w:val="20"/>
          <w:lang w:val="pt-BR" w:eastAsia="zh-CN" w:bidi="hi-IN"/>
        </w:rPr>
      </w:pPr>
      <w:r>
        <w:rPr>
          <w:rFonts w:eastAsia="Times New Roman" w:cs="Times New Roman" w:ascii="Times New Roman" w:hAnsi="Times New Roman"/>
          <w:b w:val="false"/>
          <w:bCs w:val="false"/>
          <w:color w:val="auto"/>
          <w:sz w:val="20"/>
          <w:szCs w:val="20"/>
          <w:lang w:val="pt-BR" w:eastAsia="zh-CN" w:bidi="hi-IN"/>
        </w:rPr>
      </w:r>
    </w:p>
    <w:p>
      <w:pPr>
        <w:pStyle w:val="normal1"/>
        <w:spacing w:lineRule="auto" w:line="276"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Órgão Responsável:</w:t>
        <w:tab/>
      </w:r>
      <w:r>
        <w:rPr>
          <w:rFonts w:eastAsia="Times New Roman" w:cs="Times New Roman" w:ascii="Times New Roman" w:hAnsi="Times New Roman"/>
          <w:b/>
          <w:bCs/>
          <w:color w:val="auto"/>
          <w:sz w:val="20"/>
          <w:szCs w:val="20"/>
          <w:lang w:val="pt-BR" w:eastAsia="zh-CN" w:bidi="hi-IN"/>
        </w:rPr>
        <w:t>CBMSC – Corpo de Bombeiros Militar de Santa Catarina</w:t>
      </w:r>
    </w:p>
    <w:p>
      <w:pPr>
        <w:pStyle w:val="normal1"/>
        <w:spacing w:lineRule="auto" w:line="276" w:before="0" w:after="0"/>
        <w:ind w:hanging="0"/>
        <w:jc w:val="both"/>
        <w:rPr>
          <w:rFonts w:ascii="Times New Roman" w:hAnsi="Times New Roman" w:eastAsia="Times New Roman" w:cs="Times New Roman"/>
          <w:b w:val="false"/>
          <w:bCs w:val="false"/>
          <w:color w:val="auto"/>
          <w:sz w:val="20"/>
          <w:szCs w:val="20"/>
          <w:lang w:val="pt-BR" w:eastAsia="zh-CN" w:bidi="hi-IN"/>
        </w:rPr>
      </w:pPr>
      <w:r>
        <w:rPr>
          <w:rFonts w:eastAsia="Times New Roman" w:cs="Times New Roman" w:ascii="Times New Roman" w:hAnsi="Times New Roman"/>
          <w:b w:val="false"/>
          <w:bCs w:val="false"/>
          <w:color w:val="auto"/>
          <w:sz w:val="20"/>
          <w:szCs w:val="20"/>
          <w:lang w:val="pt-BR" w:eastAsia="zh-CN" w:bidi="hi-IN"/>
        </w:rPr>
      </w:r>
    </w:p>
    <w:p>
      <w:pPr>
        <w:pStyle w:val="normal1"/>
        <w:spacing w:lineRule="auto" w:line="276"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Grupo Funcional:</w:t>
        <w:tab/>
        <w:t>06 – GESTÃO DE SERVIÇOS PÚBLICOS</w:t>
      </w:r>
    </w:p>
    <w:p>
      <w:pPr>
        <w:pStyle w:val="normal1"/>
        <w:spacing w:lineRule="auto" w:line="276"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Sub-Grupo:</w:t>
        <w:tab/>
        <w:t>03 – Segurança Pública</w:t>
      </w:r>
    </w:p>
    <w:p>
      <w:pPr>
        <w:pStyle w:val="normal1"/>
        <w:spacing w:lineRule="auto" w:line="276"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Função:</w:t>
        <w:tab/>
        <w:tab/>
        <w:t>06 – Corpo de Bombeiros Militar (Corpo de Bombeiros)</w:t>
      </w:r>
    </w:p>
    <w:p>
      <w:pPr>
        <w:pStyle w:val="normal1"/>
        <w:spacing w:lineRule="auto" w:line="276" w:before="0" w:after="0"/>
        <w:ind w:hanging="0"/>
        <w:jc w:val="both"/>
        <w:rPr>
          <w:sz w:val="20"/>
          <w:szCs w:val="20"/>
        </w:rPr>
      </w:pPr>
      <w:r>
        <w:rPr>
          <w:rFonts w:eastAsia="Times New Roman" w:cs="Times New Roman" w:ascii="Times New Roman" w:hAnsi="Times New Roman"/>
          <w:b w:val="false"/>
          <w:bCs w:val="false"/>
          <w:color w:val="auto"/>
          <w:sz w:val="20"/>
          <w:szCs w:val="20"/>
          <w:lang w:val="pt-BR" w:eastAsia="zh-CN" w:bidi="hi-IN"/>
        </w:rPr>
        <w:t>Subfunção</w:t>
        <w:tab/>
        <w:t>01 – Prevenção e Combate a Incêndios, Busca e Salvamento</w:t>
      </w:r>
    </w:p>
    <w:tbl>
      <w:tblPr>
        <w:tblW w:w="5000" w:type="pct"/>
        <w:jc w:val="left"/>
        <w:tblInd w:w="0" w:type="dxa"/>
        <w:tblLayout w:type="fixed"/>
        <w:tblCellMar>
          <w:top w:w="0" w:type="dxa"/>
          <w:left w:w="5" w:type="dxa"/>
          <w:bottom w:w="0" w:type="dxa"/>
          <w:right w:w="0" w:type="dxa"/>
        </w:tblCellMar>
      </w:tblPr>
      <w:tblGrid>
        <w:gridCol w:w="2300"/>
        <w:gridCol w:w="3436"/>
        <w:gridCol w:w="1949"/>
        <w:gridCol w:w="2196"/>
        <w:gridCol w:w="1505"/>
        <w:gridCol w:w="1321"/>
        <w:gridCol w:w="1862"/>
      </w:tblGrid>
      <w:tr>
        <w:trPr>
          <w:cantSplit w:val="true"/>
        </w:trPr>
        <w:tc>
          <w:tcPr>
            <w:tcW w:w="2300" w:type="dxa"/>
            <w:tcBorders>
              <w:top w:val="single" w:sz="4" w:space="0" w:color="000000"/>
              <w:left w:val="single" w:sz="4" w:space="0" w:color="000000"/>
              <w:bottom w:val="single" w:sz="4" w:space="0" w:color="000000"/>
            </w:tcBorders>
          </w:tcPr>
          <w:p>
            <w:pPr>
              <w:pStyle w:val="Contedodatabela"/>
              <w:jc w:val="center"/>
              <w:rPr>
                <w:sz w:val="20"/>
                <w:szCs w:val="20"/>
              </w:rPr>
            </w:pPr>
            <w:r>
              <w:rPr>
                <w:b/>
                <w:bCs/>
                <w:i/>
                <w:iCs/>
                <w:sz w:val="20"/>
                <w:szCs w:val="20"/>
                <w:lang w:val="pt-BR"/>
              </w:rPr>
              <w:t>ATIVIDADE</w:t>
            </w:r>
          </w:p>
        </w:tc>
        <w:tc>
          <w:tcPr>
            <w:tcW w:w="3436" w:type="dxa"/>
            <w:tcBorders>
              <w:top w:val="single" w:sz="4" w:space="0" w:color="000000"/>
              <w:left w:val="single" w:sz="4" w:space="0" w:color="000000"/>
              <w:bottom w:val="single" w:sz="4" w:space="0" w:color="000000"/>
            </w:tcBorders>
          </w:tcPr>
          <w:p>
            <w:pPr>
              <w:pStyle w:val="Contedodatabela"/>
              <w:jc w:val="center"/>
              <w:rPr>
                <w:sz w:val="20"/>
                <w:szCs w:val="20"/>
              </w:rPr>
            </w:pPr>
            <w:r>
              <w:rPr>
                <w:b/>
                <w:bCs/>
                <w:i/>
                <w:iCs/>
                <w:sz w:val="20"/>
                <w:szCs w:val="20"/>
                <w:lang w:val="pt-BR"/>
              </w:rPr>
              <w:t>DOCUMENTO</w:t>
            </w:r>
          </w:p>
        </w:tc>
        <w:tc>
          <w:tcPr>
            <w:tcW w:w="4145" w:type="dxa"/>
            <w:gridSpan w:val="2"/>
            <w:tcBorders>
              <w:top w:val="single" w:sz="4" w:space="0" w:color="000000"/>
              <w:left w:val="single" w:sz="4" w:space="0" w:color="000000"/>
              <w:bottom w:val="single" w:sz="4" w:space="0" w:color="000000"/>
            </w:tcBorders>
          </w:tcPr>
          <w:p>
            <w:pPr>
              <w:pStyle w:val="Contedodatabela"/>
              <w:jc w:val="center"/>
              <w:rPr>
                <w:sz w:val="20"/>
                <w:szCs w:val="20"/>
              </w:rPr>
            </w:pPr>
            <w:r>
              <w:rPr>
                <w:b/>
                <w:bCs/>
                <w:i/>
                <w:iCs/>
                <w:sz w:val="20"/>
                <w:szCs w:val="20"/>
                <w:lang w:val="pt-BR"/>
              </w:rPr>
              <w:t>PRAZO DE GUARDA</w:t>
            </w:r>
          </w:p>
        </w:tc>
        <w:tc>
          <w:tcPr>
            <w:tcW w:w="2826" w:type="dxa"/>
            <w:gridSpan w:val="2"/>
            <w:tcBorders>
              <w:top w:val="single" w:sz="4" w:space="0" w:color="000000"/>
              <w:left w:val="single" w:sz="4" w:space="0" w:color="000000"/>
              <w:bottom w:val="single" w:sz="4" w:space="0" w:color="000000"/>
            </w:tcBorders>
          </w:tcPr>
          <w:p>
            <w:pPr>
              <w:pStyle w:val="Contedodatabela"/>
              <w:jc w:val="center"/>
              <w:rPr>
                <w:sz w:val="20"/>
                <w:szCs w:val="20"/>
              </w:rPr>
            </w:pPr>
            <w:r>
              <w:rPr>
                <w:b/>
                <w:bCs/>
                <w:i/>
                <w:iCs/>
                <w:sz w:val="20"/>
                <w:szCs w:val="20"/>
                <w:lang w:val="pt-BR"/>
              </w:rPr>
              <w:t>DESTINAÇÃO</w:t>
            </w:r>
          </w:p>
        </w:tc>
        <w:tc>
          <w:tcPr>
            <w:tcW w:w="1862" w:type="dxa"/>
            <w:tcBorders>
              <w:top w:val="single" w:sz="4" w:space="0" w:color="000000"/>
              <w:left w:val="single" w:sz="4" w:space="0" w:color="000000"/>
              <w:bottom w:val="single" w:sz="4" w:space="0" w:color="000000"/>
              <w:right w:val="single" w:sz="4" w:space="0" w:color="000000"/>
            </w:tcBorders>
          </w:tcPr>
          <w:p>
            <w:pPr>
              <w:pStyle w:val="Contedodatabela"/>
              <w:jc w:val="center"/>
              <w:rPr>
                <w:sz w:val="20"/>
                <w:szCs w:val="20"/>
              </w:rPr>
            </w:pPr>
            <w:r>
              <w:rPr>
                <w:b/>
                <w:bCs/>
                <w:i/>
                <w:iCs/>
                <w:sz w:val="20"/>
                <w:szCs w:val="20"/>
                <w:lang w:val="pt-BR"/>
              </w:rPr>
              <w:t>OBSERVAÇÕES</w:t>
            </w:r>
          </w:p>
        </w:tc>
      </w:tr>
      <w:tr>
        <w:trPr>
          <w:cantSplit w:val="true"/>
        </w:trPr>
        <w:tc>
          <w:tcPr>
            <w:tcW w:w="2300" w:type="dxa"/>
            <w:tcBorders>
              <w:left w:val="single" w:sz="4" w:space="0" w:color="000000"/>
              <w:bottom w:val="single" w:sz="4" w:space="0" w:color="000000"/>
            </w:tcBorders>
            <w:vAlign w:val="center"/>
          </w:tcPr>
          <w:p>
            <w:pPr>
              <w:pStyle w:val="Contedodatabela"/>
              <w:rPr>
                <w:b/>
                <w:bCs/>
                <w:sz w:val="20"/>
                <w:szCs w:val="20"/>
                <w:lang w:val="pt-BR" w:eastAsia="zh-CN" w:bidi="hi-IN"/>
              </w:rPr>
            </w:pPr>
            <w:r>
              <w:rPr>
                <w:b/>
                <w:bCs/>
                <w:sz w:val="20"/>
                <w:szCs w:val="20"/>
                <w:lang w:val="pt-BR" w:eastAsia="zh-CN" w:bidi="hi-IN"/>
              </w:rPr>
            </w:r>
          </w:p>
        </w:tc>
        <w:tc>
          <w:tcPr>
            <w:tcW w:w="3436" w:type="dxa"/>
            <w:tcBorders>
              <w:left w:val="single" w:sz="4" w:space="0" w:color="000000"/>
              <w:bottom w:val="single" w:sz="4" w:space="0" w:color="000000"/>
            </w:tcBorders>
            <w:vAlign w:val="center"/>
          </w:tcPr>
          <w:p>
            <w:pPr>
              <w:pStyle w:val="Contedodatabela"/>
              <w:rPr>
                <w:b/>
                <w:bCs/>
                <w:sz w:val="20"/>
                <w:szCs w:val="20"/>
                <w:lang w:val="pt-BR" w:eastAsia="zh-CN" w:bidi="hi-IN"/>
              </w:rPr>
            </w:pPr>
            <w:r>
              <w:rPr>
                <w:b/>
                <w:bCs/>
                <w:sz w:val="20"/>
                <w:szCs w:val="20"/>
                <w:lang w:val="pt-BR" w:eastAsia="zh-CN" w:bidi="hi-IN"/>
              </w:rPr>
            </w:r>
          </w:p>
        </w:tc>
        <w:tc>
          <w:tcPr>
            <w:tcW w:w="1949" w:type="dxa"/>
            <w:tcBorders>
              <w:left w:val="single" w:sz="4" w:space="0" w:color="000000"/>
              <w:bottom w:val="single" w:sz="4" w:space="0" w:color="000000"/>
            </w:tcBorders>
            <w:vAlign w:val="center"/>
          </w:tcPr>
          <w:p>
            <w:pPr>
              <w:pStyle w:val="Contedodatabela"/>
              <w:spacing w:lineRule="auto" w:line="240" w:before="57" w:after="57"/>
              <w:jc w:val="center"/>
              <w:rPr>
                <w:sz w:val="20"/>
                <w:szCs w:val="20"/>
              </w:rPr>
            </w:pPr>
            <w:r>
              <w:rPr>
                <w:b/>
                <w:bCs/>
                <w:i/>
                <w:iCs/>
                <w:sz w:val="20"/>
                <w:szCs w:val="20"/>
                <w:lang w:val="pt-BR" w:eastAsia="zh-CN" w:bidi="hi-IN"/>
              </w:rPr>
              <w:t>Arquivo</w:t>
            </w:r>
          </w:p>
          <w:p>
            <w:pPr>
              <w:pStyle w:val="Contedodatabela"/>
              <w:spacing w:lineRule="auto" w:line="240" w:before="57" w:after="57"/>
              <w:jc w:val="center"/>
              <w:rPr>
                <w:sz w:val="20"/>
                <w:szCs w:val="20"/>
              </w:rPr>
            </w:pPr>
            <w:r>
              <w:rPr>
                <w:b/>
                <w:bCs/>
                <w:i/>
                <w:iCs/>
                <w:sz w:val="20"/>
                <w:szCs w:val="20"/>
                <w:lang w:val="pt-BR" w:eastAsia="zh-CN" w:bidi="hi-IN"/>
              </w:rPr>
              <w:t>Corrente</w:t>
            </w:r>
          </w:p>
          <w:p>
            <w:pPr>
              <w:pStyle w:val="Contedodatabela"/>
              <w:spacing w:lineRule="auto" w:line="240" w:before="57" w:after="57"/>
              <w:jc w:val="center"/>
              <w:rPr>
                <w:sz w:val="20"/>
                <w:szCs w:val="20"/>
              </w:rPr>
            </w:pPr>
            <w:r>
              <w:rPr>
                <w:b/>
                <w:bCs/>
                <w:i/>
                <w:iCs/>
                <w:sz w:val="20"/>
                <w:szCs w:val="20"/>
                <w:lang w:val="pt-BR" w:eastAsia="zh-CN" w:bidi="hi-IN"/>
              </w:rPr>
              <w:t>(em período ou anos)</w:t>
            </w:r>
          </w:p>
        </w:tc>
        <w:tc>
          <w:tcPr>
            <w:tcW w:w="2196" w:type="dxa"/>
            <w:tcBorders>
              <w:left w:val="single" w:sz="4" w:space="0" w:color="000000"/>
              <w:bottom w:val="single" w:sz="4" w:space="0" w:color="000000"/>
            </w:tcBorders>
            <w:vAlign w:val="center"/>
          </w:tcPr>
          <w:p>
            <w:pPr>
              <w:pStyle w:val="Contedodatabela"/>
              <w:spacing w:lineRule="auto" w:line="240" w:before="57" w:after="57"/>
              <w:jc w:val="center"/>
              <w:rPr>
                <w:sz w:val="20"/>
                <w:szCs w:val="20"/>
              </w:rPr>
            </w:pPr>
            <w:r>
              <w:rPr>
                <w:b/>
                <w:bCs/>
                <w:i/>
                <w:iCs/>
                <w:sz w:val="20"/>
                <w:szCs w:val="20"/>
                <w:lang w:val="pt-BR" w:eastAsia="zh-CN" w:bidi="hi-IN"/>
              </w:rPr>
              <w:t>Arquivo</w:t>
            </w:r>
          </w:p>
          <w:p>
            <w:pPr>
              <w:pStyle w:val="Contedodatabela"/>
              <w:spacing w:lineRule="auto" w:line="240" w:before="57" w:after="57"/>
              <w:jc w:val="center"/>
              <w:rPr>
                <w:sz w:val="20"/>
                <w:szCs w:val="20"/>
              </w:rPr>
            </w:pPr>
            <w:r>
              <w:rPr>
                <w:b/>
                <w:bCs/>
                <w:i/>
                <w:iCs/>
                <w:sz w:val="20"/>
                <w:szCs w:val="20"/>
                <w:lang w:val="pt-BR" w:eastAsia="zh-CN" w:bidi="hi-IN"/>
              </w:rPr>
              <w:t>Intermediário / Central</w:t>
            </w:r>
          </w:p>
          <w:p>
            <w:pPr>
              <w:pStyle w:val="Contedodatabela"/>
              <w:spacing w:lineRule="auto" w:line="240" w:before="57" w:after="57"/>
              <w:jc w:val="center"/>
              <w:rPr>
                <w:sz w:val="20"/>
                <w:szCs w:val="20"/>
              </w:rPr>
            </w:pPr>
            <w:r>
              <w:rPr>
                <w:b/>
                <w:bCs/>
                <w:i/>
                <w:iCs/>
                <w:sz w:val="20"/>
                <w:szCs w:val="20"/>
                <w:lang w:val="pt-BR" w:eastAsia="zh-CN" w:bidi="hi-IN"/>
              </w:rPr>
              <w:t>(em anos)</w:t>
            </w:r>
          </w:p>
        </w:tc>
        <w:tc>
          <w:tcPr>
            <w:tcW w:w="1505" w:type="dxa"/>
            <w:tcBorders>
              <w:left w:val="single" w:sz="4" w:space="0" w:color="000000"/>
              <w:bottom w:val="single" w:sz="4" w:space="0" w:color="000000"/>
            </w:tcBorders>
            <w:vAlign w:val="center"/>
          </w:tcPr>
          <w:p>
            <w:pPr>
              <w:pStyle w:val="Contedodatabela"/>
              <w:spacing w:lineRule="auto" w:line="240" w:before="57" w:after="57"/>
              <w:jc w:val="center"/>
              <w:rPr>
                <w:sz w:val="20"/>
                <w:szCs w:val="20"/>
              </w:rPr>
            </w:pPr>
            <w:r>
              <w:rPr>
                <w:b/>
                <w:bCs/>
                <w:i/>
                <w:iCs/>
                <w:sz w:val="20"/>
                <w:szCs w:val="20"/>
                <w:lang w:val="pt-BR" w:eastAsia="zh-CN" w:bidi="hi-IN"/>
              </w:rPr>
              <w:t>Eliminação</w:t>
            </w:r>
          </w:p>
        </w:tc>
        <w:tc>
          <w:tcPr>
            <w:tcW w:w="1321" w:type="dxa"/>
            <w:tcBorders>
              <w:left w:val="single" w:sz="4" w:space="0" w:color="000000"/>
              <w:bottom w:val="single" w:sz="4" w:space="0" w:color="000000"/>
            </w:tcBorders>
            <w:vAlign w:val="center"/>
          </w:tcPr>
          <w:p>
            <w:pPr>
              <w:pStyle w:val="Contedodatabela"/>
              <w:spacing w:lineRule="auto" w:line="240" w:before="57" w:after="57"/>
              <w:jc w:val="center"/>
              <w:rPr>
                <w:sz w:val="20"/>
                <w:szCs w:val="20"/>
              </w:rPr>
            </w:pPr>
            <w:r>
              <w:rPr>
                <w:b/>
                <w:bCs/>
                <w:i/>
                <w:iCs/>
                <w:sz w:val="20"/>
                <w:szCs w:val="20"/>
                <w:lang w:val="pt-BR" w:eastAsia="zh-CN" w:bidi="hi-IN"/>
              </w:rPr>
              <w:t>Guarda Permanente</w:t>
            </w:r>
          </w:p>
        </w:tc>
        <w:tc>
          <w:tcPr>
            <w:tcW w:w="1862" w:type="dxa"/>
            <w:tcBorders>
              <w:left w:val="single" w:sz="4" w:space="0" w:color="000000"/>
              <w:bottom w:val="single" w:sz="4" w:space="0" w:color="000000"/>
              <w:right w:val="single" w:sz="4" w:space="0" w:color="000000"/>
            </w:tcBorders>
            <w:vAlign w:val="center"/>
          </w:tcPr>
          <w:p>
            <w:pPr>
              <w:pStyle w:val="Contedodatabela"/>
              <w:rPr>
                <w:b/>
                <w:bCs/>
                <w:sz w:val="20"/>
                <w:szCs w:val="20"/>
                <w:lang w:val="pt-BR" w:eastAsia="zh-CN" w:bidi="hi-IN"/>
              </w:rPr>
            </w:pPr>
            <w:r>
              <w:rPr>
                <w:b/>
                <w:bCs/>
                <w:sz w:val="20"/>
                <w:szCs w:val="20"/>
                <w:lang w:val="pt-BR" w:eastAsia="zh-CN" w:bidi="hi-IN"/>
              </w:rPr>
            </w:r>
          </w:p>
        </w:tc>
      </w:tr>
      <w:tr>
        <w:trPr>
          <w:cantSplit w:val="true"/>
        </w:trPr>
        <w:tc>
          <w:tcPr>
            <w:tcW w:w="2300" w:type="dxa"/>
            <w:vMerge w:val="restart"/>
            <w:tcBorders>
              <w:left w:val="single" w:sz="4" w:space="0" w:color="000000"/>
              <w:bottom w:val="single" w:sz="4" w:space="0" w:color="000000"/>
            </w:tcBorders>
            <w:vAlign w:val="center"/>
          </w:tcPr>
          <w:p>
            <w:pPr>
              <w:pStyle w:val="Contedodatabela"/>
              <w:rPr>
                <w:sz w:val="20"/>
                <w:szCs w:val="20"/>
              </w:rPr>
            </w:pPr>
            <w:r>
              <w:rPr>
                <w:sz w:val="20"/>
                <w:szCs w:val="20"/>
                <w:lang w:val="pt-BR" w:eastAsia="zh-CN" w:bidi="hi-IN"/>
              </w:rPr>
              <w:t>06.03.06.01.01 – Combate a Incêndio e outros Sinistros</w:t>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001 – Boletim de Ocorrência sobre Combate a Incêndio e outros Sinistros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002 – Certidão de Ocorrência sobre Combate a Incêndio e outros Sinistros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003 – Ficha de Acidente de Viatura em Combate a Incêndio e outros Sinistros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004 – Relatório Individual de Incêndio e outros Sinistros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restart"/>
            <w:tcBorders>
              <w:left w:val="single" w:sz="4" w:space="0" w:color="000000"/>
              <w:bottom w:val="single" w:sz="4" w:space="0" w:color="000000"/>
            </w:tcBorders>
            <w:vAlign w:val="center"/>
          </w:tcPr>
          <w:p>
            <w:pPr>
              <w:pStyle w:val="Contedodatabela"/>
              <w:rPr>
                <w:sz w:val="20"/>
                <w:szCs w:val="20"/>
              </w:rPr>
            </w:pPr>
            <w:r>
              <w:rPr>
                <w:sz w:val="20"/>
                <w:szCs w:val="20"/>
                <w:lang w:val="pt-BR" w:eastAsia="zh-CN" w:bidi="hi-IN"/>
              </w:rPr>
              <w:t>06.03.06.01.02 – Busca e Salvamento</w:t>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001 – Boletim de Ocorrência sobre Busca e Salvamento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002 – Certidão de Ocorrência sobre Busca e Salvamento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003 – Ficha de Atendimento Pré-Hospitalar na Busca e Salvamento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004 – Ficha de Acidente de Viatura em Busca e Salvamento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restart"/>
            <w:tcBorders>
              <w:left w:val="single" w:sz="4" w:space="0" w:color="000000"/>
              <w:bottom w:val="single" w:sz="4" w:space="0" w:color="000000"/>
            </w:tcBorders>
            <w:vAlign w:val="center"/>
          </w:tcPr>
          <w:p>
            <w:pPr>
              <w:pStyle w:val="Contedodatabela"/>
              <w:rPr>
                <w:sz w:val="20"/>
                <w:szCs w:val="20"/>
              </w:rPr>
            </w:pPr>
            <w:r>
              <w:rPr>
                <w:sz w:val="20"/>
                <w:szCs w:val="20"/>
                <w:lang w:val="pt-BR" w:eastAsia="zh-CN" w:bidi="hi-IN"/>
              </w:rPr>
              <w:t>06.03.06.01.03 – Prevenção contra Incêndios</w:t>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Atestado de Aprovação de Projeto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002 – Atestado de Implantação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003 – Atestado de Manutenção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004 – Atestado para Fins de Funcionamento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005 – Atestado para Habite-se</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006 – Boletim Informativo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rPr>
            </w:pPr>
            <w:r>
              <w:rPr>
                <w:sz w:val="20"/>
                <w:szCs w:val="20"/>
                <w:lang w:val="pt-BR" w:eastAsia="zh-CN" w:bidi="hi-IN"/>
              </w:rPr>
              <w:t>Guardar um exemplar para amostra</w:t>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007 – Cronograma de Obra</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008 – Guia de Cobrança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009 – Instrução de Análise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010 – Instrução de Vistoria sobre Prevenção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011 – Instrução Normativa sobre Prevenção contra Incêndios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012 – instrução Reguladora Gerencial sobre Prevenção contra Incêndios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013 – Norma de Segurança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014 – Projeto Preventivo contra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015 – Relatório de Análise de Projeto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016 – Relatório de Vistoria de Constatação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017 – Relatório de Vistoria de Funcionamento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018 – Relatório de Vistoria de Habite-se</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019 – Relatório de Vistoria de Implantação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020 – Relatório de Vistoria de Manutenção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021 – Relatório de Vistoria de Regularização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022 – Termo de Compromisso sobre Prevenção contra Incêndios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restart"/>
            <w:tcBorders>
              <w:left w:val="single" w:sz="4" w:space="0" w:color="000000"/>
              <w:bottom w:val="single" w:sz="4" w:space="0" w:color="000000"/>
            </w:tcBorders>
            <w:vAlign w:val="center"/>
          </w:tcPr>
          <w:p>
            <w:pPr>
              <w:pStyle w:val="Contedodatabela"/>
              <w:rPr>
                <w:sz w:val="20"/>
                <w:szCs w:val="20"/>
              </w:rPr>
            </w:pPr>
            <w:r>
              <w:rPr>
                <w:sz w:val="20"/>
                <w:szCs w:val="20"/>
                <w:lang w:val="pt-BR" w:eastAsia="zh-CN" w:bidi="hi-IN"/>
              </w:rPr>
              <w:t>06.03.06.01.04 – Atendimento Pré hospitalar</w:t>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001 – Boletim de Ocorrência sobre Atendimento Pré-hospitalar</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002 – Certidão de Ocorrência sobre Atendimento Pré Hospitalar</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003 – Ficha de Acidente de Viatura em Atendimento Pré Hospitalar</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004 – Ficha de Atendimento Pré hospitalar</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005 – Ficha de Entrega de Vítimas e Pertences</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006 – Relatório Mensal de Ocorrência sobre Atendimento Pré hospitalar</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restart"/>
            <w:tcBorders>
              <w:left w:val="single" w:sz="4" w:space="0" w:color="000000"/>
              <w:bottom w:val="single" w:sz="4" w:space="0" w:color="000000"/>
            </w:tcBorders>
          </w:tcPr>
          <w:p>
            <w:pPr>
              <w:pStyle w:val="Contedodatabela"/>
              <w:rPr>
                <w:sz w:val="20"/>
                <w:szCs w:val="20"/>
              </w:rPr>
            </w:pPr>
            <w:r>
              <w:rPr>
                <w:sz w:val="20"/>
                <w:szCs w:val="20"/>
                <w:lang w:val="pt-BR" w:eastAsia="zh-CN" w:bidi="hi-IN"/>
              </w:rPr>
              <w:t>06.03.06.01.05 – Perícia de Incêndio</w:t>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001 – Informativo Técnico sobre Perícia de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enquanto vigora</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002 – Informe Pericial sobre Perícia de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003 – Laudo Pericial de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004 – Parecer Técnico sobre Perícia de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321"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r>
        <w:trPr>
          <w:cantSplit w:val="true"/>
        </w:trPr>
        <w:tc>
          <w:tcPr>
            <w:tcW w:w="2300" w:type="dxa"/>
            <w:vMerge w:val="continue"/>
            <w:tcBorders>
              <w:left w:val="single" w:sz="4" w:space="0" w:color="000000"/>
              <w:bottom w:val="single" w:sz="4" w:space="0" w:color="000000"/>
            </w:tcBorders>
          </w:tcPr>
          <w:p>
            <w:pPr>
              <w:pStyle w:val="Contedodatabela"/>
              <w:rPr>
                <w:sz w:val="20"/>
                <w:szCs w:val="20"/>
                <w:lang w:val="pt-BR" w:eastAsia="zh-CN" w:bidi="hi-IN"/>
              </w:rPr>
            </w:pPr>
            <w:r>
              <w:rPr>
                <w:sz w:val="20"/>
                <w:szCs w:val="20"/>
                <w:lang w:val="pt-BR" w:eastAsia="zh-CN" w:bidi="hi-IN"/>
              </w:rPr>
            </w:r>
          </w:p>
        </w:tc>
        <w:tc>
          <w:tcPr>
            <w:tcW w:w="3436" w:type="dxa"/>
            <w:tcBorders>
              <w:left w:val="single" w:sz="4" w:space="0" w:color="000000"/>
              <w:bottom w:val="single" w:sz="4" w:space="0" w:color="000000"/>
            </w:tcBorders>
          </w:tcPr>
          <w:p>
            <w:pPr>
              <w:pStyle w:val="Contedodatabela"/>
              <w:rPr>
                <w:sz w:val="20"/>
                <w:szCs w:val="20"/>
              </w:rPr>
            </w:pPr>
            <w:r>
              <w:rPr>
                <w:sz w:val="20"/>
                <w:szCs w:val="20"/>
                <w:lang w:val="pt-BR" w:eastAsia="zh-CN" w:bidi="hi-IN"/>
              </w:rPr>
              <w:t>005 – Relatório de Ensaio sobre Perícia de Incêndio</w:t>
            </w:r>
          </w:p>
        </w:tc>
        <w:tc>
          <w:tcPr>
            <w:tcW w:w="1949"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5</w:t>
            </w:r>
          </w:p>
        </w:tc>
        <w:tc>
          <w:tcPr>
            <w:tcW w:w="2196"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10</w:t>
            </w:r>
          </w:p>
        </w:tc>
        <w:tc>
          <w:tcPr>
            <w:tcW w:w="1505" w:type="dxa"/>
            <w:tcBorders>
              <w:left w:val="single" w:sz="4" w:space="0" w:color="000000"/>
              <w:bottom w:val="single" w:sz="4" w:space="0" w:color="000000"/>
            </w:tcBorders>
            <w:vAlign w:val="center"/>
          </w:tcPr>
          <w:p>
            <w:pPr>
              <w:pStyle w:val="Contedodatabela"/>
              <w:jc w:val="center"/>
              <w:rPr>
                <w:sz w:val="20"/>
                <w:szCs w:val="20"/>
              </w:rPr>
            </w:pPr>
            <w:r>
              <w:rPr>
                <w:sz w:val="20"/>
                <w:szCs w:val="20"/>
                <w:lang w:val="pt-BR" w:eastAsia="zh-CN" w:bidi="hi-IN"/>
              </w:rPr>
              <w:t>x</w:t>
            </w:r>
          </w:p>
        </w:tc>
        <w:tc>
          <w:tcPr>
            <w:tcW w:w="1321" w:type="dxa"/>
            <w:tcBorders>
              <w:left w:val="single" w:sz="4" w:space="0" w:color="000000"/>
              <w:bottom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c>
          <w:tcPr>
            <w:tcW w:w="1862" w:type="dxa"/>
            <w:tcBorders>
              <w:left w:val="single" w:sz="4" w:space="0" w:color="000000"/>
              <w:bottom w:val="single" w:sz="4" w:space="0" w:color="000000"/>
              <w:right w:val="single" w:sz="4" w:space="0" w:color="000000"/>
            </w:tcBorders>
            <w:vAlign w:val="center"/>
          </w:tcPr>
          <w:p>
            <w:pPr>
              <w:pStyle w:val="Contedodatabela"/>
              <w:jc w:val="center"/>
              <w:rPr>
                <w:sz w:val="20"/>
                <w:szCs w:val="20"/>
                <w:lang w:val="pt-BR" w:eastAsia="zh-CN" w:bidi="hi-IN"/>
              </w:rPr>
            </w:pPr>
            <w:r>
              <w:rPr>
                <w:sz w:val="20"/>
                <w:szCs w:val="20"/>
                <w:lang w:val="pt-BR" w:eastAsia="zh-CN" w:bidi="hi-IN"/>
              </w:rPr>
            </w:r>
          </w:p>
        </w:tc>
      </w:tr>
    </w:tbl>
    <w:p>
      <w:pPr>
        <w:pStyle w:val="normal1"/>
        <w:spacing w:before="0" w:after="0"/>
        <w:jc w:val="center"/>
        <w:rPr>
          <w:lang w:val="pt-BR"/>
        </w:rPr>
      </w:pPr>
      <w:r>
        <w:br w:type="page"/>
      </w:r>
      <w:r>
        <w:rPr>
          <w:rFonts w:eastAsia="Times New Roman" w:cs="Times New Roman" w:ascii="Times New Roman" w:hAnsi="Times New Roman"/>
          <w:b/>
          <w:bCs/>
          <w:color w:val="auto"/>
          <w:sz w:val="24"/>
          <w:szCs w:val="24"/>
          <w:lang w:val="pt-BR" w:eastAsia="zh-CN" w:bidi="hi-IN"/>
        </w:rPr>
        <w:t>APÊNDICE C - PLANO DE CLASSIFICAÇÃO EM VIGOR</w:t>
      </w:r>
    </w:p>
    <w:p>
      <w:pPr>
        <w:pStyle w:val="normal1"/>
        <w:jc w:val="both"/>
        <w:rPr>
          <w:rFonts w:ascii="Times New Roman" w:hAnsi="Times New Roman" w:eastAsia="Times New Roman" w:cs="Times New Roman"/>
          <w:color w:val="38761D"/>
          <w:sz w:val="20"/>
          <w:szCs w:val="20"/>
          <w:lang w:val="pt-BR" w:eastAsia="zh-CN" w:bidi="hi-IN"/>
        </w:rPr>
      </w:pPr>
      <w:r>
        <w:rPr>
          <w:rFonts w:eastAsia="Times New Roman" w:cs="Times New Roman" w:ascii="Times New Roman" w:hAnsi="Times New Roman"/>
          <w:color w:val="38761D"/>
          <w:sz w:val="20"/>
          <w:szCs w:val="20"/>
          <w:lang w:val="pt-BR" w:eastAsia="zh-CN" w:bidi="hi-IN"/>
        </w:rPr>
      </w:r>
    </w:p>
    <w:p>
      <w:pPr>
        <w:pStyle w:val="BodyText"/>
        <w:jc w:val="center"/>
        <w:rPr>
          <w:rFonts w:ascii="Times New Roman" w:hAnsi="Times New Roman"/>
          <w:sz w:val="20"/>
          <w:szCs w:val="20"/>
        </w:rPr>
      </w:pPr>
      <w:bookmarkStart w:id="3" w:name="docs-internal-guid-62a95c19-7fff-4e1a-fc"/>
      <w:bookmarkEnd w:id="3"/>
      <w:r>
        <w:rPr>
          <w:rFonts w:eastAsia="Times New Roman" w:cs="Times New Roman"/>
          <w:b/>
          <w:i w:val="false"/>
          <w:caps w:val="false"/>
          <w:smallCaps w:val="false"/>
          <w:strike w:val="false"/>
          <w:dstrike w:val="false"/>
          <w:color w:val="000000"/>
          <w:sz w:val="20"/>
          <w:szCs w:val="20"/>
          <w:u w:val="none"/>
          <w:effect w:val="none"/>
          <w:shd w:fill="auto" w:val="clear"/>
          <w:lang w:val="pt-BR" w:eastAsia="zh-CN" w:bidi="hi-IN"/>
        </w:rPr>
        <w:t>PLANO DE CLASSIFICAÇÃO DE DOCUMENTOS DO ESTADO DE SANTA CATARINA - Atividade Fim</w:t>
      </w:r>
    </w:p>
    <w:p>
      <w:pPr>
        <w:pStyle w:val="BodyText"/>
        <w:bidi w:val="0"/>
        <w:spacing w:lineRule="auto" w:line="288" w:before="0" w:after="0"/>
        <w:ind w:hanging="0" w:left="0" w:right="0"/>
        <w:jc w:val="center"/>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rPr>
        <w:t>(DOE/SC N° 21.534, Pág. 81, Publicação 2/06/2021)</w:t>
      </w:r>
    </w:p>
    <w:p>
      <w:pPr>
        <w:pStyle w:val="BodyText"/>
        <w:rPr>
          <w:rFonts w:ascii="Times New Roman" w:hAnsi="Times New Roman"/>
          <w:sz w:val="20"/>
          <w:szCs w:val="20"/>
          <w:lang w:val="pt-BR"/>
        </w:rPr>
      </w:pPr>
      <w:r>
        <w:rPr>
          <w:sz w:val="20"/>
          <w:szCs w:val="20"/>
          <w:lang w:val="pt-BR"/>
        </w:rPr>
      </w:r>
    </w:p>
    <w:p>
      <w:pPr>
        <w:pStyle w:val="BodyText"/>
        <w:bidi w:val="0"/>
        <w:spacing w:lineRule="auto" w:line="288"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rPr>
        <w:t>Órgão Responsável: CBMSC - Corpo de Bombeiros Militar de Santa Catarina</w:t>
      </w:r>
    </w:p>
    <w:p>
      <w:pPr>
        <w:pStyle w:val="BodyText"/>
        <w:spacing w:lineRule="auto" w:line="240" w:before="0" w:after="0"/>
        <w:ind w:hanging="0"/>
        <w:rPr>
          <w:rFonts w:ascii="Times New Roman" w:hAnsi="Times New Roman"/>
          <w:sz w:val="20"/>
          <w:szCs w:val="20"/>
          <w:lang w:val="pt-BR" w:eastAsia="zh-CN" w:bidi="hi-IN"/>
        </w:rPr>
      </w:pPr>
      <w:r>
        <w:rPr>
          <w:sz w:val="20"/>
          <w:szCs w:val="20"/>
          <w:lang w:val="pt-BR" w:eastAsia="zh-CN" w:bidi="hi-IN"/>
        </w:rPr>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Grupo: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GESTÃO DE SERVIÇOS PÚBLICOS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Subgrupo: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Segurança Pública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Corpo de Bombeiro Militar (Corpo de Bombeiros)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Atendimento a Emergências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06.03.06.01.01</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Promover Ações de Combate a Incêndio e outros Sinistros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06.03.06.01.01.002</w:t>
        <w:tab/>
        <w:t>Certidão de Ocorrência sobre Combate a Incêndio e outros Sinistros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06.03.06.01.02</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Promover Ações de Busca e Salvamento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r>
      <w:r>
        <w:rPr>
          <w:b w:val="false"/>
          <w:caps w:val="false"/>
          <w:smallCaps w:val="false"/>
          <w:strike w:val="false"/>
          <w:dstrike w:val="false"/>
          <w:color w:val="000000"/>
          <w:sz w:val="20"/>
          <w:szCs w:val="20"/>
          <w:u w:val="none"/>
          <w:effect w:val="none"/>
          <w:shd w:fill="auto" w:val="clear"/>
          <w:lang w:val="pt-BR" w:eastAsia="zh-CN" w:bidi="hi-IN"/>
        </w:rPr>
        <w:tab/>
      </w:r>
      <w:r>
        <w:rPr>
          <w:b w:val="false"/>
          <w:i w:val="false"/>
          <w:caps w:val="false"/>
          <w:smallCaps w:val="false"/>
          <w:strike w:val="false"/>
          <w:dstrike w:val="false"/>
          <w:color w:val="000000"/>
          <w:sz w:val="20"/>
          <w:szCs w:val="20"/>
          <w:u w:val="none"/>
          <w:effect w:val="none"/>
          <w:shd w:fill="auto" w:val="clear"/>
          <w:lang w:val="pt-BR" w:eastAsia="zh-CN" w:bidi="hi-IN"/>
        </w:rPr>
        <w:t>06.03.06.01.02.002</w:t>
        <w:tab/>
        <w:t>Certidão de Ocorrência sobre Busca e Salvamento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06.03.06.01.04</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Promover Ações de Atendimento Pré-hospitalar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06.03.06.01.04.002</w:t>
        <w:tab/>
        <w:t>Certidão de Ocorrência sobre Atendimento Pré Hospitalar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06.03.06.01.04.004</w:t>
        <w:tab/>
        <w:t>Ficha de Atendimento Pré-Hospitalar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06.03.06.01.05</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Perícia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06.03.06.01.05.001</w:t>
        <w:tab/>
        <w:t>Informativo Técnico sobre Perícia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06.03.06.01.05.002</w:t>
        <w:tab/>
        <w:t>Informe Pericial sobre Perícia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06.03.06.01.05.003</w:t>
        <w:tab/>
        <w:t>Laudo Pericial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06.03.06.01.05.004</w:t>
        <w:tab/>
        <w:t>Parecer Técnico sobre Perícia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06.03.06.01.05.005</w:t>
        <w:tab/>
        <w:t>Relatório de Ensaio sobre Perícia de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06.03.06.01.06</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Operação e Condução de Viaturas, Embarcação, Aeronaves e Equipamentos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06.03.06.01.06.001</w:t>
        <w:tab/>
        <w:t>Ficha de Acidente de Viatura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Ofício Sobre Solicitação de Placa Particular em Viatura - Sv Reservado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Diário de Bordo de Aeronave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Ocorrência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Plano de Ascensão Técnica de Pilotos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Programa de Treinamento Operacional de Aeronaves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06.03.06.01.06.007</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Manual de Gerenciamento da Segurança Operacional</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06.03.06.01.06.008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Relato da Aviação Civil</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06.03.06.02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Segurança Contra Incêndios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06.03.06.02.01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Normatizar e Promover Ações e Medidas de Segurança Contra Incêndios e Pânico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06.03.06.02.01.001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Atestado de Aprovação de Projeto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Atestado para Fins de Funcionamento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Atestado para Habite-se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Atestado sobre Relatório Preventivo de Segurança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06.03.06.02.01.008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Cronograma de Obra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06.03.06.02.01.009</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Guia de Cobrança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06.03.06.02.01.010</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Instrução de Análise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Instrução de Vistoria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Instrução Normativa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Instrução Reguladora Gerencial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Norma de Segurança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Projeto Preventivo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Análise de Projeto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06.03.06.02.01.017</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Constatação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Funcionamento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06.03.06.02.01.019</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Habite-se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06.03.06.02.01.020</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Implantação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Manutenção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de Vistoria de Regularização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Termo de Compromisso sobre Prevenção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Nota Circular sobre Segurança contra Incêndios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Nota Técnica sobre Segurança contra Incêndios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Parecer Técnico sobre Segurança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06.03.06.02.01.027</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Decisão Técnica sobre Segurança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Fiscalização sobre Segurança contra Incêndio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06.03.06.02.01.029</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Suspensão de Atestado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06.03.06.02.01.030</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Cassação de Atestado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Advertência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Multa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Embargo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Interdição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Desembargo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06.03.06.02.01.036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Auto de Infração sobre Desinterdição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Formação e Capacitação Bombeiro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06.03.06.03.01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Promover Ações e Medidas de Formação e a Capacitação Bombeiro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06.03.06.03.01.001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Plano de Ensino (PE)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06.03.06.03.01.002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Final de Curso (RFC)</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06.03.06.03.01.003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Quadro de Trabalho Semanal (QTS)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Ações de Segurança Bombeiro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06.03.06.04.01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Promover Ações de Controle e Regulação de Material Bélico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06.03.06.04.01.001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Processo sobre Renovação de Registro e/ou Porte de Arma de Fogo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06.03.06.04.01.002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Processo sobre Transferência de Registro de Arma de Fogo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06.03.06.04.01.003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Processo sobre Aquisição de Arma de Fogo e/ou Munição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06.03.06.04.01.004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Registro sobre Roubo/ Furto/ Perda/ Extravio de Arma de Fogo e/ou Munição</w:t>
      </w:r>
    </w:p>
    <w:p>
      <w:pPr>
        <w:pStyle w:val="BodyText"/>
        <w:tabs>
          <w:tab w:val="clear" w:pos="720"/>
          <w:tab w:val="left" w:pos="1421" w:leader="none"/>
          <w:tab w:val="left" w:pos="3286" w:leader="none"/>
        </w:tabs>
        <w:bidi w:val="0"/>
        <w:spacing w:lineRule="auto" w:line="240" w:before="0" w:after="0"/>
        <w:ind w:hanging="0"/>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06.03.06.04.02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Promover Ações de Coordenação, Controle, Orientação e Regulação das Atividades Operacionais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06.03.06.04.02.001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Ordem de Serviço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06.03.06.04.02.002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Diretriz Operacional Permanente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06.03.06.04.02.003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Diretriz de Procedimento Administrativo Permanente</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06.03.06.04.02.004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Instrução Reguladora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06.03.06.04.02.005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Ordem Administrativa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06.03.06.04.02.006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Procedimento Administrativo Padrão sobre a Regulação das Atividades Operacionais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Divulgação e Publicação das Ações Bombeiro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06.03.06.05.01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Produzir, Editar, Divulgar e Circular o Boletim Bombeiro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06.03.06.05.01.001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do Corpo de Bombeiros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Reservado do Corpo de Bombeiros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Especial do Corpo de Bombeiros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Reservado Especial do Corpo de Bombeiros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Interno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Interno Reservado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06.03.06.05.01.007</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Administrativo Reservado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06.03.06.05.01.008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Boletim Oficial Eletrônico do Corpo de Bombeiros Militar</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Subfunção:</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Operacionalização das Ações de Integração dos Serviços Auxiliares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i w:val="false"/>
          <w:caps w:val="false"/>
          <w:smallCaps w:val="false"/>
          <w:strike w:val="false"/>
          <w:dstrike w:val="false"/>
          <w:color w:val="000000"/>
          <w:sz w:val="20"/>
          <w:szCs w:val="20"/>
          <w:u w:val="none"/>
          <w:effect w:val="none"/>
          <w:shd w:fill="auto" w:val="clear"/>
          <w:lang w:val="pt-BR" w:eastAsia="zh-CN" w:bidi="hi-IN"/>
        </w:rPr>
        <w:t>Atividade:</w:t>
      </w:r>
      <w:r>
        <w:rPr>
          <w:b w:val="false"/>
          <w:i w:val="false"/>
          <w:caps w:val="false"/>
          <w:smallCaps w:val="false"/>
          <w:strike w:val="false"/>
          <w:dstrike w:val="false"/>
          <w:color w:val="000000"/>
          <w:sz w:val="20"/>
          <w:szCs w:val="20"/>
          <w:u w:val="none"/>
          <w:effect w:val="none"/>
          <w:shd w:fill="auto" w:val="clear"/>
          <w:lang w:val="pt-BR" w:eastAsia="zh-CN" w:bidi="hi-IN"/>
        </w:rPr>
        <w:tab/>
      </w:r>
      <w:r>
        <w:rPr>
          <w:b/>
          <w:i w:val="false"/>
          <w:caps w:val="false"/>
          <w:smallCaps w:val="false"/>
          <w:strike w:val="false"/>
          <w:dstrike w:val="false"/>
          <w:color w:val="000000"/>
          <w:sz w:val="20"/>
          <w:szCs w:val="20"/>
          <w:u w:val="none"/>
          <w:effect w:val="none"/>
          <w:shd w:fill="auto" w:val="clear"/>
          <w:lang w:val="pt-BR" w:eastAsia="zh-CN" w:bidi="hi-IN"/>
        </w:rPr>
        <w:t>06.03.06.06.01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i w:val="false"/>
          <w:caps w:val="false"/>
          <w:smallCaps w:val="false"/>
          <w:strike w:val="false"/>
          <w:dstrike w:val="false"/>
          <w:color w:val="000000"/>
          <w:sz w:val="20"/>
          <w:szCs w:val="20"/>
          <w:u w:val="none"/>
          <w:effect w:val="none"/>
          <w:shd w:fill="auto" w:val="clear"/>
          <w:lang w:val="pt-BR" w:eastAsia="zh-CN" w:bidi="hi-IN"/>
        </w:rPr>
        <w:t>Promover Ações para a Inclusão, Controle, Coordenação, Planejamento e Integração dos Serviços Auxiliares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Documentos:</w:t>
        <w:tab/>
        <w:t>06.03.06.06.01.001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Termo de Adesão ao Serviço Voluntário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Termo de Anuência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Certidão Negativa de Antecedentes Criminais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06.03.06.06.01.004</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Atestado de Sanidade Mental e Capacidade Física</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06.03.06.06.01.005</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Laudo de Exame Toxicológico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06.03.06.06.01.006</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Plano Mensal de Emprego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06.03.06.06.01.007</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Relatório Mensal do Serviço Comunitário Ressarcido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06.03.06.06.01.008</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Plano Geral dos Programas Comunitários</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06.03.06.06.01.009</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Processo Administrativo do Bombeiro Comunitário - PABC</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06.03.06.06.01.010</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Formulário de Verificação Procedimental - Check List</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06.03.06.06.01.011</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Projeto de Programa Comunitário</w:t>
      </w:r>
    </w:p>
    <w:p>
      <w:p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06.03.06.06.01.012</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Registro de Certificado de Programa Comunitário</w:t>
      </w:r>
    </w:p>
    <w:p>
      <w:pPr>
        <w:sectPr>
          <w:headerReference w:type="default" r:id="rId37"/>
          <w:headerReference w:type="first" r:id="rId38"/>
          <w:footnotePr>
            <w:numFmt w:val="decimal"/>
          </w:footnotePr>
          <w:type w:val="nextPage"/>
          <w:pgSz w:orient="landscape" w:w="16838" w:h="11906"/>
          <w:pgMar w:left="1134" w:right="1134" w:gutter="0" w:header="0" w:top="1134" w:footer="0" w:bottom="1134"/>
          <w:pgNumType w:fmt="decimal"/>
          <w:formProt w:val="false"/>
          <w:textDirection w:val="lrTb"/>
          <w:docGrid w:type="default" w:linePitch="100" w:charSpace="0"/>
        </w:sectPr>
        <w:pStyle w:val="BodyText"/>
        <w:tabs>
          <w:tab w:val="clear" w:pos="720"/>
          <w:tab w:val="left" w:pos="1421" w:leader="none"/>
          <w:tab w:val="left" w:pos="3286" w:leader="none"/>
        </w:tabs>
        <w:bidi w:val="0"/>
        <w:spacing w:lineRule="auto" w:line="240" w:before="0" w:after="0"/>
        <w:ind w:hanging="0" w:left="0" w:right="0"/>
        <w:jc w:val="both"/>
        <w:rPr>
          <w:rFonts w:ascii="Times New Roman" w:hAnsi="Times New Roman"/>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b/>
        <w:t>06.03.06.06.01.013</w:t>
      </w:r>
      <w:r>
        <w:rPr>
          <w:b w:val="false"/>
          <w:caps w:val="false"/>
          <w:smallCaps w:val="false"/>
          <w:strike w:val="false"/>
          <w:dstrike w:val="false"/>
          <w:color w:val="000000"/>
          <w:sz w:val="20"/>
          <w:szCs w:val="20"/>
          <w:u w:val="none"/>
          <w:effect w:val="none"/>
          <w:shd w:fill="auto" w:val="clear"/>
          <w:lang w:val="pt-BR" w:eastAsia="zh-CN" w:bidi="hi-IN"/>
        </w:rPr>
        <w:t xml:space="preserve"> </w:t>
        <w:tab/>
      </w:r>
      <w:r>
        <w:rPr>
          <w:b w:val="false"/>
          <w:i w:val="false"/>
          <w:caps w:val="false"/>
          <w:smallCaps w:val="false"/>
          <w:strike w:val="false"/>
          <w:dstrike w:val="false"/>
          <w:color w:val="000000"/>
          <w:sz w:val="20"/>
          <w:szCs w:val="20"/>
          <w:u w:val="none"/>
          <w:effect w:val="none"/>
          <w:shd w:fill="auto" w:val="clear"/>
          <w:lang w:val="pt-BR" w:eastAsia="zh-CN" w:bidi="hi-IN"/>
        </w:rPr>
        <w:t>Ofício sobre Transferência de Bombeiro Comunitário</w:t>
      </w:r>
      <w:r>
        <w:br w:type="page"/>
      </w:r>
    </w:p>
    <w:p>
      <w:pPr>
        <w:pStyle w:val="Normal"/>
        <w:widowControl/>
        <w:suppressAutoHyphens w:val="true"/>
        <w:overflowPunct w:val="false"/>
        <w:bidi w:val="0"/>
        <w:spacing w:lineRule="auto" w:line="240" w:before="0" w:after="0"/>
        <w:ind w:hanging="0" w:left="0" w:right="0"/>
        <w:jc w:val="center"/>
        <w:textAlignment w:val="baseline"/>
        <w:rPr>
          <w:lang w:val="pt-BR"/>
        </w:rPr>
      </w:pPr>
      <w:r>
        <w:rPr>
          <w:rFonts w:eastAsia="Times New Roman" w:cs="Times New Roman"/>
          <w:b/>
          <w:bCs/>
          <w:color w:val="000000"/>
          <w:sz w:val="24"/>
          <w:szCs w:val="24"/>
          <w:lang w:val="pt-BR" w:eastAsia="pt-BR" w:bidi="ar-SA"/>
        </w:rPr>
        <w:t>APÊNDICE D – TABELA DE TEMPORALIDADE DE DOCUMENTOS EM VIGOR</w:t>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Tabela de Temporalidade de Atividade-Fim</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p>
      <w:pPr>
        <w:pStyle w:val="Normal"/>
        <w:widowControl/>
        <w:tabs>
          <w:tab w:val="clear" w:pos="720"/>
          <w:tab w:val="right" w:pos="3122" w:leader="none"/>
          <w:tab w:val="left" w:pos="3178" w:leader="none"/>
        </w:tabs>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ab/>
        <w:t>Grupo: 06</w:t>
        <w:tab/>
        <w:t xml:space="preserve"> - GESTÃO DE SERVIÇOS PÚBLICOS</w:t>
      </w:r>
    </w:p>
    <w:p>
      <w:pPr>
        <w:pStyle w:val="Normal"/>
        <w:widowControl/>
        <w:tabs>
          <w:tab w:val="clear" w:pos="720"/>
          <w:tab w:val="right" w:pos="3122" w:leader="none"/>
          <w:tab w:val="left" w:pos="3178" w:leader="none"/>
        </w:tabs>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ab/>
        <w:t>Subgrupo: 03</w:t>
        <w:tab/>
        <w:t xml:space="preserve"> - Segurança Pública</w:t>
      </w:r>
    </w:p>
    <w:p>
      <w:pPr>
        <w:pStyle w:val="Normal"/>
        <w:widowControl/>
        <w:tabs>
          <w:tab w:val="clear" w:pos="720"/>
          <w:tab w:val="right" w:pos="3122" w:leader="none"/>
          <w:tab w:val="left" w:pos="3178" w:leader="none"/>
        </w:tabs>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ab/>
        <w:t>Função: 06</w:t>
        <w:tab/>
        <w:t xml:space="preserve"> - Corpo de Bombeiro Militar (Corpo de Bombeiros)</w:t>
      </w:r>
    </w:p>
    <w:p>
      <w:pPr>
        <w:pStyle w:val="Normal"/>
        <w:widowControl/>
        <w:tabs>
          <w:tab w:val="clear" w:pos="720"/>
          <w:tab w:val="right" w:pos="3122" w:leader="none"/>
          <w:tab w:val="left" w:pos="3178" w:leader="none"/>
        </w:tabs>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ab/>
        <w:t>Subfunção: 01</w:t>
        <w:tab/>
        <w:t xml:space="preserve"> - Atendimento a Emergências</w:t>
      </w:r>
    </w:p>
    <w:tbl>
      <w:tblPr>
        <w:tblW w:w="15990" w:type="dxa"/>
        <w:jc w:val="left"/>
        <w:tblInd w:w="87" w:type="dxa"/>
        <w:tblLayout w:type="fixed"/>
        <w:tblCellMar>
          <w:top w:w="55" w:type="dxa"/>
          <w:left w:w="55" w:type="dxa"/>
          <w:bottom w:w="55" w:type="dxa"/>
          <w:right w:w="55" w:type="dxa"/>
        </w:tblCellMar>
      </w:tblPr>
      <w:tblGrid>
        <w:gridCol w:w="2550"/>
        <w:gridCol w:w="3239"/>
        <w:gridCol w:w="1411"/>
        <w:gridCol w:w="1650"/>
        <w:gridCol w:w="1350"/>
        <w:gridCol w:w="1589"/>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23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06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Promover Ações de Combate a Incêndio e outros Sinistros</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Certidão de Ocorrência sobre Combate a Incêndio e outros Sinistros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 foi considerado o inciso IV do Art 7º a Lei 9747/1994. Documento criado dentro da plataforma digital E-193:</w:t>
            </w:r>
          </w:p>
          <w:p>
            <w:pPr>
              <w:pStyle w:val="Contedodatabela"/>
              <w:jc w:val="both"/>
              <w:rPr/>
            </w:pPr>
            <w:hyperlink r:id="rId39">
              <w:r>
                <w:rPr>
                  <w:rStyle w:val="Hyperlink"/>
                  <w:rFonts w:eastAsia="Times New Roman" w:cs="Times New Roman"/>
                  <w:sz w:val="20"/>
                  <w:szCs w:val="20"/>
                  <w:lang w:val="pt-BR"/>
                </w:rPr>
                <w:t>https://fpolis.cbm.sc.gov.br/web193/index.php</w:t>
              </w:r>
            </w:hyperlink>
            <w:r>
              <w:rPr>
                <w:rFonts w:eastAsia="Times New Roman" w:cs="Times New Roman"/>
                <w:sz w:val="20"/>
                <w:szCs w:val="20"/>
                <w:lang w:val="pt-BR"/>
              </w:rPr>
              <w:t>#</w:t>
            </w:r>
          </w:p>
        </w:tc>
      </w:tr>
      <w:tr>
        <w:trPr/>
        <w:tc>
          <w:tcPr>
            <w:tcW w:w="2550"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02 - Promover Ações de Busca e Salvamento</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Certidão de Ocorrência sobre Busca e Salvamento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IV do Art 7º a Lei 9747/1994 Documento criado dentro da plataforma digital E-193:</w:t>
            </w:r>
          </w:p>
          <w:p>
            <w:pPr>
              <w:pStyle w:val="Contedodatabela"/>
              <w:jc w:val="both"/>
              <w:rPr/>
            </w:pPr>
            <w:hyperlink r:id="rId40">
              <w:r>
                <w:rPr>
                  <w:rStyle w:val="Hyperlink"/>
                  <w:rFonts w:eastAsia="Times New Roman" w:cs="Times New Roman"/>
                  <w:sz w:val="20"/>
                  <w:szCs w:val="20"/>
                  <w:lang w:val="pt-BR"/>
                </w:rPr>
                <w:t>https://fpolis.cbm.sc.gov.br/web193/index.php</w:t>
              </w:r>
            </w:hyperlink>
            <w:r>
              <w:rPr>
                <w:rFonts w:eastAsia="Times New Roman" w:cs="Times New Roman"/>
                <w:sz w:val="20"/>
                <w:szCs w:val="20"/>
                <w:lang w:val="pt-BR"/>
              </w:rPr>
              <w:t>#</w:t>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04 - Promover Ações de Atendimento Pré-hospitalar</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Certidão de Ocorrência sobre Atendimento Pré Hospitalar</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IV do Art 7º a Lei 9747/1994. Documento criado dentro da plataforma digital E-193. Este documento só é exarado mediante solicitação de envolvidos em atendimento pré-hospitalar para fins de comprovação judicial. </w:t>
            </w:r>
            <w:hyperlink r:id="rId41">
              <w:r>
                <w:rPr>
                  <w:rStyle w:val="Hyperlink"/>
                  <w:rFonts w:eastAsia="Times New Roman" w:cs="Times New Roman"/>
                  <w:sz w:val="20"/>
                  <w:szCs w:val="20"/>
                  <w:lang w:val="pt-BR"/>
                </w:rPr>
                <w:t>https://fpolis.cbm.sc.gov.br/web193/index.php</w:t>
              </w:r>
            </w:hyperlink>
            <w:r>
              <w:rPr>
                <w:rFonts w:eastAsia="Times New Roman" w:cs="Times New Roman"/>
                <w:sz w:val="20"/>
                <w:szCs w:val="20"/>
                <w:lang w:val="pt-BR"/>
              </w:rPr>
              <w:t>#</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Ficha de Atendimento Pré-Hospitalar</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Considerado a letra d), inciso IV, Art 4º da Lei 9747/1994</w:t>
            </w:r>
          </w:p>
          <w:p>
            <w:pPr>
              <w:pStyle w:val="Contedodatabela"/>
              <w:jc w:val="both"/>
              <w:rPr>
                <w:sz w:val="20"/>
                <w:szCs w:val="20"/>
              </w:rPr>
            </w:pPr>
            <w:r>
              <w:rPr>
                <w:rFonts w:eastAsia="Times New Roman" w:cs="Times New Roman"/>
                <w:sz w:val="20"/>
                <w:szCs w:val="20"/>
                <w:lang w:val="pt-BR"/>
              </w:rPr>
              <w:t>Este documento é repassado para o nosocômio onde o paciente é transladado, e cópia deste fica na unidade de atendimento, tendo suas informações incluídas em plataforma digital.</w:t>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05 - Perícia de Incêndio</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Informativo Técnico sobre Perícia de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III do Art 7º a</w:t>
            </w:r>
          </w:p>
          <w:p>
            <w:pPr>
              <w:pStyle w:val="Contedodatabela"/>
              <w:jc w:val="both"/>
              <w:rPr>
                <w:sz w:val="20"/>
                <w:szCs w:val="20"/>
              </w:rPr>
            </w:pPr>
            <w:r>
              <w:rPr>
                <w:rFonts w:eastAsia="Times New Roman" w:cs="Times New Roman"/>
                <w:sz w:val="20"/>
                <w:szCs w:val="20"/>
                <w:lang w:val="pt-BR"/>
              </w:rPr>
              <w:t>Lei 9747/1994 Continuam em arquivo, embora não tenham sido mais exarados por ocasião de atualização de normas, conforme Dtz POP Nº 24-CmdoG</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Informe Pericial sobre Perícia de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IV do Art 4º a Lei 9747/1994</w:t>
            </w:r>
          </w:p>
          <w:p>
            <w:pPr>
              <w:pStyle w:val="Contedodatabela"/>
              <w:jc w:val="both"/>
              <w:rPr>
                <w:sz w:val="20"/>
                <w:szCs w:val="20"/>
              </w:rPr>
            </w:pPr>
            <w:r>
              <w:rPr>
                <w:rFonts w:eastAsia="Times New Roman" w:cs="Times New Roman"/>
                <w:sz w:val="20"/>
                <w:szCs w:val="20"/>
                <w:lang w:val="pt-BR"/>
              </w:rPr>
              <w:t>Atualizado pela Dtz POP Nº 24 -CmdoG, de 1º/03/2013, pub BCBM Nº 11, de 14/03/2013</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003 - Laudo Pericial de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IV do Art 4º a Lei 9747/1994</w:t>
            </w:r>
          </w:p>
          <w:p>
            <w:pPr>
              <w:pStyle w:val="Contedodatabela"/>
              <w:jc w:val="both"/>
              <w:rPr>
                <w:sz w:val="20"/>
                <w:szCs w:val="20"/>
              </w:rPr>
            </w:pPr>
            <w:r>
              <w:rPr>
                <w:rFonts w:eastAsia="Times New Roman" w:cs="Times New Roman"/>
                <w:sz w:val="20"/>
                <w:szCs w:val="20"/>
                <w:lang w:val="pt-BR"/>
              </w:rPr>
              <w:t>Atualizado pela Dtz POP Nº 24 -CmdoG, de 1º/03/2013, pub BCBM Nº 11, de 14/03/2013</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Parecer Técnico sobre Perícia de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IV do Art 4º a Lei 9747/1994</w:t>
            </w:r>
          </w:p>
          <w:p>
            <w:pPr>
              <w:pStyle w:val="Contedodatabela"/>
              <w:jc w:val="both"/>
              <w:rPr>
                <w:sz w:val="20"/>
                <w:szCs w:val="20"/>
              </w:rPr>
            </w:pPr>
            <w:r>
              <w:rPr>
                <w:rFonts w:eastAsia="Times New Roman" w:cs="Times New Roman"/>
                <w:sz w:val="20"/>
                <w:szCs w:val="20"/>
                <w:lang w:val="pt-BR"/>
              </w:rPr>
              <w:t>Art 127 da IN Nº 1-DSCI-2020, base temporalidade TTDD Ministério da Defesa.</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005 - Relatório de Ensaio sobre Perícia de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III do Art 7º a Lei 9747/1994 Inciso I, Art 7º da Lei 9747/1994</w:t>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06 - Operação e Condução de Viaturas, Embarcação, Aeronaves e Equipamentos</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Ficha de Acidente de Viatura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do Art 7º a Lei 9747/1994</w:t>
            </w:r>
          </w:p>
          <w:p>
            <w:pPr>
              <w:pStyle w:val="Contedodatabela"/>
              <w:jc w:val="both"/>
              <w:rPr>
                <w:sz w:val="20"/>
                <w:szCs w:val="20"/>
              </w:rPr>
            </w:pPr>
            <w:r>
              <w:rPr>
                <w:rFonts w:eastAsia="Times New Roman" w:cs="Times New Roman"/>
                <w:sz w:val="20"/>
                <w:szCs w:val="20"/>
                <w:lang w:val="pt-BR"/>
              </w:rPr>
              <w:t>Para fins de comprovação de informações de acidente com a viatura e para instrução de inquérito técnico a ser exarado em seguida.</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Ofício Sobre Solicitação de Placa Particular em Viatura - Sv Reservado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Temporalidade baseada na TTDD da atividade meio do Poder Executivo Federal Base de criação: Art 116 da Lei 9503/1997 - CTB.</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003 - Diário de Bordo de Aeronave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(Navegação Aérea - Relatório final de inspeção em voo)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Relatório de Ocorrência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(Diagnóstico - Relatório)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005 - Plano de Ascensão Técnica de Pilotos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(Programa de ensino e treinamento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006 - Programa de Treinamento Operacional de Aeronaves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(Programa de ensino e treinamento)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007 - Manual de Gerenciamento da Segurança Operacional</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89"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(Controle do Material de Defesa - No âmbito das Polícias Militares e dos Corpos de Bombeiros Militares)</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008 - Relato da Aviação Civil</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3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89"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(Aviação Civil)</w:t>
            </w:r>
          </w:p>
        </w:tc>
      </w:tr>
    </w:tbl>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Subfunção: 02 – Segurança Contra Incêndios</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tbl>
      <w:tblPr>
        <w:tblW w:w="15990" w:type="dxa"/>
        <w:jc w:val="left"/>
        <w:tblInd w:w="87" w:type="dxa"/>
        <w:tblLayout w:type="fixed"/>
        <w:tblCellMar>
          <w:top w:w="55" w:type="dxa"/>
          <w:left w:w="55" w:type="dxa"/>
          <w:bottom w:w="55" w:type="dxa"/>
          <w:right w:w="55" w:type="dxa"/>
        </w:tblCellMar>
      </w:tblPr>
      <w:tblGrid>
        <w:gridCol w:w="2550"/>
        <w:gridCol w:w="3239"/>
        <w:gridCol w:w="1411"/>
        <w:gridCol w:w="1650"/>
        <w:gridCol w:w="1364"/>
        <w:gridCol w:w="1575"/>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23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06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Normatizar e Promover Ações e Medidas de Segurança Contra Incêndios e Pânico</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Atestado de Aprovação de Projeto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Incêndios,Busca e Salvamento), Atividade 03 (Prevenção contra Incêndios).Para fins de TTDD, foi considerado o inciso IV do Art 4º a Lei 9747/1994 Conforme IN Nº 1-DSCI-2020.</w:t>
            </w:r>
          </w:p>
          <w:p>
            <w:pPr>
              <w:pStyle w:val="Contedodatabela"/>
              <w:jc w:val="both"/>
              <w:rPr/>
            </w:pPr>
            <w:hyperlink r:id="rId42">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Atestado para Fins de Funcionamento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w:t>
            </w:r>
          </w:p>
          <w:p>
            <w:pPr>
              <w:pStyle w:val="Contedodatabela"/>
              <w:jc w:val="both"/>
              <w:rPr/>
            </w:pPr>
            <w:r>
              <w:rPr>
                <w:rFonts w:eastAsia="Times New Roman" w:cs="Times New Roman"/>
                <w:sz w:val="20"/>
                <w:szCs w:val="20"/>
                <w:lang w:val="pt-BR"/>
              </w:rPr>
              <w:t xml:space="preserve">Conforme Art 42 da IN Nº 1-DSCI-2020. </w:t>
            </w:r>
            <w:hyperlink r:id="rId43">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005 - Atestado para Habite-se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Foi migrado da subfunção 01 (Prevenção e Combate a Incêndios, Busca e Salvamento), Atividade 03 (Prevenção contra Incêndios). Para fins de TTDD, foi considerado o inciso IV do Art 4º a Lei 9747/1994 Conforme Art 42 da IN Nº 1-DSCI-2020. </w:t>
            </w:r>
            <w:hyperlink r:id="rId44">
              <w:r>
                <w:rPr>
                  <w:rStyle w:val="Hyperlink"/>
                  <w:rFonts w:eastAsia="Times New Roman" w:cs="Times New Roman"/>
                  <w:sz w:val="20"/>
                  <w:szCs w:val="20"/>
                  <w:lang w:val="pt-BR"/>
                </w:rPr>
                <w:t>https://dsci.cbm.sc.gov.br/images/arquivo_pdf/IN/Em_vigor/IN_001_parte_1</w:t>
              </w:r>
            </w:hyperlink>
            <w:r>
              <w:rPr>
                <w:rFonts w:eastAsia="Times New Roman" w:cs="Times New Roman"/>
                <w:sz w:val="20"/>
                <w:szCs w:val="20"/>
                <w:lang w:val="pt-BR"/>
              </w:rPr>
              <w:t>_18dezembro2019.pdf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006 - Atestado sobre Relatório Preventivo de Segurança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IV do Art 4º a Lei 9747/1994 Conforme Art 42 da IN Nº 1-DSCI-2020.</w:t>
            </w:r>
          </w:p>
          <w:p>
            <w:pPr>
              <w:pStyle w:val="Contedodatabela"/>
              <w:jc w:val="both"/>
              <w:rPr/>
            </w:pPr>
            <w:hyperlink r:id="rId45">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008 - Cronograma de Obra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Criado com base em item III, Art 116 da Diretriz POP Nº 26-CmdoG, de 13/11/2017, pub BCBM 46 23/11/2017</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009 - Guia de Cobrança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Foi migrado da subfunção 01 (Prevenção e Combate a Incêndios, Busca e Salvamento), Atividade 03 (Prevenção contra Incêndios). Para fins de TTDD, foi considerado o inciso VI do Art 7º a Lei 9747/1994 Conf Art 2º, 3º e 4º da Lei nº 13.248 de 29/12/2004. </w:t>
            </w:r>
            <w:hyperlink r:id="rId46">
              <w:r>
                <w:rPr>
                  <w:rStyle w:val="Hyperlink"/>
                  <w:rFonts w:eastAsia="Times New Roman" w:cs="Times New Roman"/>
                  <w:sz w:val="20"/>
                  <w:szCs w:val="20"/>
                  <w:lang w:val="pt-BR"/>
                </w:rPr>
                <w:t>http://legislacao.sef.sc.gov.br/html/leis/2004/lei_04_13248.htm</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010 - Instrução de Análise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Conf Art 149 da IN Nº 1-DSCI-2020</w:t>
            </w:r>
          </w:p>
          <w:p>
            <w:pPr>
              <w:pStyle w:val="Contedodatabela"/>
              <w:jc w:val="both"/>
              <w:rPr/>
            </w:pPr>
            <w:hyperlink r:id="rId47">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011 - Instrução de Vistoria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Conf Art 149 da IN Nº 1-DSCI-2020</w:t>
            </w:r>
          </w:p>
          <w:p>
            <w:pPr>
              <w:pStyle w:val="Contedodatabela"/>
              <w:jc w:val="both"/>
              <w:rPr/>
            </w:pPr>
            <w:hyperlink r:id="rId48">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012 - Instrução Normativa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Inciso XX, Art 3º do Dec Est nº 1957/2013</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013 - Instrução Reguladora Gerencial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Com base da TTDD do Ministério da Defesa</w:t>
            </w:r>
          </w:p>
          <w:p>
            <w:pPr>
              <w:pStyle w:val="Contedodatabela"/>
              <w:jc w:val="both"/>
              <w:rPr>
                <w:sz w:val="20"/>
                <w:szCs w:val="20"/>
              </w:rPr>
            </w:pPr>
            <w:r>
              <w:rPr>
                <w:rFonts w:eastAsia="Times New Roman" w:cs="Times New Roman"/>
                <w:sz w:val="20"/>
                <w:szCs w:val="20"/>
                <w:lang w:val="pt-BR"/>
              </w:rPr>
              <w:t>http://www.ahex.eb.mil.br/docs/dgad/Legislacoes-Basicas-sobre-Eliminacao-de-Documentos/ Tabela-de-temporalidade-Atv-Fim_MD.pdf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014 - Norma de Segurança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Inciso XXII, Art 3º do Dec nº 1957/2013</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015 - Projeto Preventivo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Conforme IN Nº 1-DSCI-2020.</w:t>
            </w:r>
          </w:p>
          <w:p>
            <w:pPr>
              <w:pStyle w:val="Contedodatabela"/>
              <w:jc w:val="both"/>
              <w:rPr>
                <w:sz w:val="20"/>
                <w:szCs w:val="20"/>
              </w:rPr>
            </w:pPr>
            <w:r>
              <w:rPr>
                <w:rFonts w:eastAsia="Times New Roman" w:cs="Times New Roman"/>
                <w:sz w:val="20"/>
                <w:szCs w:val="20"/>
                <w:lang w:val="pt-BR"/>
              </w:rPr>
              <w:t>https://dsci.cbm.sc.gov.br/images/arquivo_pdf/IN/Em_vigor/IN_001_parte_1_18dezembro2019.pdf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016 - Relatório de Análise de Projeto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Em atendimento a IN Nº 1-DSCI-2020</w:t>
            </w:r>
          </w:p>
          <w:p>
            <w:pPr>
              <w:pStyle w:val="Contedodatabela"/>
              <w:jc w:val="both"/>
              <w:rPr>
                <w:sz w:val="20"/>
                <w:szCs w:val="20"/>
              </w:rPr>
            </w:pPr>
            <w:r>
              <w:rPr>
                <w:rFonts w:eastAsia="Times New Roman" w:cs="Times New Roman"/>
                <w:sz w:val="20"/>
                <w:szCs w:val="20"/>
                <w:lang w:val="pt-BR"/>
              </w:rPr>
              <w:t>https://dsci.cbm.sc.gov.br/images/arquivo_pdf/IN/Em_vigor/IN_001_parte_1_18dezembro2019.pdf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017 - Relatório de Vistoria de Constatação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Em atendimento a IN Nº 1-DSCI-2020</w:t>
            </w:r>
          </w:p>
          <w:p>
            <w:pPr>
              <w:pStyle w:val="Contedodatabela"/>
              <w:jc w:val="both"/>
              <w:rPr/>
            </w:pPr>
            <w:hyperlink r:id="rId49">
              <w:r>
                <w:rPr>
                  <w:rStyle w:val="Hyperlink"/>
                  <w:rFonts w:eastAsia="Times New Roman" w:cs="Times New Roman"/>
                  <w:sz w:val="20"/>
                  <w:szCs w:val="20"/>
                  <w:lang w:val="pt-BR"/>
                </w:rPr>
                <w:t>https://dsc Quadro 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018 - Relatório de Vistoria de Funcionamento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Em atendimento a IN Nº 1-DSCI-2020</w:t>
            </w:r>
          </w:p>
          <w:p>
            <w:pPr>
              <w:pStyle w:val="Contedodatabela"/>
              <w:jc w:val="both"/>
              <w:rPr/>
            </w:pPr>
            <w:hyperlink r:id="rId50">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019 - Relatório de Vistoria de Habite-se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Em atendimento a IN Nº 1-DSCI-2020</w:t>
            </w:r>
          </w:p>
          <w:p>
            <w:pPr>
              <w:pStyle w:val="Contedodatabela"/>
              <w:jc w:val="both"/>
              <w:rPr/>
            </w:pPr>
            <w:hyperlink r:id="rId51">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020 - Relatório de Vistoria de Implantação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Em atendimento a IN Nº 1-DSCI-2020</w:t>
            </w:r>
          </w:p>
          <w:p>
            <w:pPr>
              <w:pStyle w:val="Contedodatabela"/>
              <w:jc w:val="both"/>
              <w:rPr/>
            </w:pPr>
            <w:hyperlink r:id="rId52">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021 - Relatório de Vistoria de Manutenção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Foi migrado da subfunção 01 (Prevenção e Combate a Incêndios, Busca e Salvamento), Atividade 03 (Prevenção contra Incêndios). Para fins de TTDD, foi considerado o inciso VI do Art 7º a Lei 9747/1994 Em atendimento a IN Nº 1-DSCI-2020 </w:t>
            </w:r>
            <w:hyperlink r:id="rId53">
              <w:r>
                <w:rPr>
                  <w:rStyle w:val="Hyperlink"/>
                  <w:rFonts w:eastAsia="Times New Roman" w:cs="Times New Roman"/>
                  <w:sz w:val="20"/>
                  <w:szCs w:val="20"/>
                  <w:lang w:val="pt-BR"/>
                </w:rPr>
                <w:t>https://dsci.cbm.sc.gov.br/images/arquivo_pdf/IN/Em_vigor/IN_001_parte_1_18dezembro2019.pdf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022 - Relatório de Vistoria de Regularização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VI do Art 7º a Lei 9747/1994 Art 109 da Diretriz POP Nº 26-CmdoG, de 13/11/2017, pub BCBM 46 23/11/2017</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023 - Termo de Compromisso sobre Prevenção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Foi migrado da subfunção 01 (Prevenção e Combate a Incêndios, Busca e Salvamento), Atividade 03 (Prevenção contra Incêndios). Para fins de TTDD, foi considerado o inciso IV do Art 4º a Lei 9747/1994 Conf § Único, Art 82, da IN Nº 1-DSCI-2020</w:t>
            </w:r>
          </w:p>
          <w:p>
            <w:pPr>
              <w:pStyle w:val="Contedodatabela"/>
              <w:jc w:val="both"/>
              <w:rPr>
                <w:sz w:val="20"/>
                <w:szCs w:val="20"/>
              </w:rPr>
            </w:pPr>
            <w:r>
              <w:rPr>
                <w:rFonts w:eastAsia="Times New Roman" w:cs="Times New Roman"/>
                <w:sz w:val="20"/>
                <w:szCs w:val="20"/>
                <w:lang w:val="pt-BR"/>
              </w:rPr>
              <w:t>https://dsci.cbm.sc.gov.br/images/arquivo_pdf/IN/Em_vigor/IN_1_-_parte_1_-_ps_NT_06_Abr.pdf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024 - Nota Circular sobre Segurança contra Incêndios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considerando o inciso IV, Art 4º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025 - Nota Técnica sobre Segurança contra Incêndios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considerando o inciso IV, Art 4º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026 - Parecer Técnico sobre Segurança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considerando o inciso IV, Art 4º da Lei 9747/1994 Art 127 da IN 1 da DSCI em 2020. </w:t>
            </w:r>
            <w:hyperlink r:id="rId54">
              <w:r>
                <w:rPr>
                  <w:rStyle w:val="Hyperlink"/>
                  <w:rFonts w:eastAsia="Times New Roman" w:cs="Times New Roman"/>
                  <w:sz w:val="20"/>
                  <w:szCs w:val="20"/>
                  <w:lang w:val="pt-BR"/>
                </w:rPr>
                <w:t>https://dsci.cbm.sc.gov.br/images/arquivo_pdf/IN/Em_vigor/IN_1_-_parte_1_-_ps_NT_06_Abr.pdf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027 - Decisão Técnica sobre Segurança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considerando o inciso IV, Art 4º da Lei 9747/1994 Art 132 da IN 1 da DSCI em 2020. </w:t>
            </w:r>
            <w:hyperlink r:id="rId55">
              <w:r>
                <w:rPr>
                  <w:rStyle w:val="Hyperlink"/>
                  <w:rFonts w:eastAsia="Times New Roman" w:cs="Times New Roman"/>
                  <w:sz w:val="20"/>
                  <w:szCs w:val="20"/>
                  <w:lang w:val="pt-BR"/>
                </w:rPr>
                <w:t>https://dsci.cbm.sc.gov.br/images/arquivo_pdf/IN/Em_vigor/IN_1_-_parte_1_-_ps_NT_06_Abr.pdf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028 - Auto de Fiscalização sobre Segurança contra Incêndio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Instituído com a publicação da IN 2 da DSCI em 2020. </w:t>
            </w:r>
            <w:hyperlink r:id="rId56">
              <w:r>
                <w:rPr>
                  <w:rStyle w:val="Hyperlink"/>
                  <w:rFonts w:eastAsia="Times New Roman" w:cs="Times New Roman"/>
                  <w:sz w:val="20"/>
                  <w:szCs w:val="20"/>
                  <w:lang w:val="pt-BR"/>
                </w:rPr>
                <w:t>https://dsci.cbm.sc.gov.br/images/arquivo_pdf/IN/Em_vigor/IN_2_NT_59.pd</w:t>
              </w:r>
            </w:hyperlink>
            <w:hyperlink r:id="rId57">
              <w:r>
                <w:rPr>
                  <w:rStyle w:val="Hyperlink"/>
                  <w:rFonts w:eastAsia="Times New Roman" w:cs="Times New Roman"/>
                  <w:sz w:val="20"/>
                  <w:szCs w:val="20"/>
                  <w:lang w:val="pt-BR"/>
                </w:rPr>
                <w:t>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029 - Auto de Infração sobre Suspensão de Atestado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do Art 7º a Lei 9747/1994 Conforme IN Nº 2-DSCI-2020 https://dsci.cbm.sc.gov.br/images/arquivo_pdf/IN/Em_vigor/IN_2_NT_59.pdf</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030 - Auto de Infração sobre Cassação de Atestado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58">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031 - Auto de Infração sobre Advertência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59">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032 - Auto de Infração sobre Multa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60">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033 - Auto de Infração sobre Embargo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61">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034 - Auto de Infração sobre Interdição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62">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035 - Auto de Infração sobre Desembargo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63">
              <w:r>
                <w:rPr>
                  <w:rStyle w:val="Hyperlink"/>
                  <w:rFonts w:eastAsia="Times New Roman" w:cs="Times New Roman"/>
                  <w:sz w:val="20"/>
                  <w:szCs w:val="20"/>
                  <w:lang w:val="pt-BR"/>
                </w:rPr>
                <w:t>https://dsci.cbm.sc.gov.br/images/arquivo_pdf/IN/Em_vigor/IN_2_NT_59.pdf</w:t>
              </w:r>
            </w:hyperlink>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036 - Auto de Infração sobre Desinterdição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pPr>
            <w:r>
              <w:rPr>
                <w:rFonts w:eastAsia="Times New Roman" w:cs="Times New Roman"/>
                <w:sz w:val="20"/>
                <w:szCs w:val="20"/>
                <w:lang w:val="pt-BR"/>
              </w:rPr>
              <w:t xml:space="preserve">Para fins de TTDD, foi considerado o inciso VI do Art 7º a Lei 9747/1994 Conforme IN Nº 2-DSCI-2020 </w:t>
            </w:r>
            <w:hyperlink r:id="rId64">
              <w:r>
                <w:rPr>
                  <w:rStyle w:val="Hyperlink"/>
                  <w:rFonts w:eastAsia="Times New Roman" w:cs="Times New Roman"/>
                  <w:sz w:val="20"/>
                  <w:szCs w:val="20"/>
                  <w:lang w:val="pt-BR"/>
                </w:rPr>
                <w:t>https://dsci.cbm.sc.gov.br/images/arquivo_pdf/IN/Em_vigor/IN_2_NT_59.pdf</w:t>
              </w:r>
            </w:hyperlink>
          </w:p>
        </w:tc>
      </w:tr>
    </w:tbl>
    <w:p>
      <w:pPr>
        <w:pStyle w:val="Normal"/>
        <w:rPr>
          <w:rFonts w:ascii="Times New Roman" w:hAnsi="Times New Roman"/>
          <w:sz w:val="20"/>
          <w:szCs w:val="20"/>
          <w:lang w:val="pt-BR"/>
        </w:rPr>
      </w:pPr>
      <w:r>
        <w:rPr>
          <w:sz w:val="20"/>
          <w:szCs w:val="20"/>
          <w:lang w:val="pt-BR"/>
        </w:rPr>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Subfunção: 03 – Formação e Capacitação Bombeiro Militares</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tbl>
      <w:tblPr>
        <w:tblW w:w="15990" w:type="dxa"/>
        <w:jc w:val="left"/>
        <w:tblInd w:w="87" w:type="dxa"/>
        <w:tblLayout w:type="fixed"/>
        <w:tblCellMar>
          <w:top w:w="55" w:type="dxa"/>
          <w:left w:w="55" w:type="dxa"/>
          <w:bottom w:w="55" w:type="dxa"/>
          <w:right w:w="55" w:type="dxa"/>
        </w:tblCellMar>
      </w:tblPr>
      <w:tblGrid>
        <w:gridCol w:w="2550"/>
        <w:gridCol w:w="3239"/>
        <w:gridCol w:w="1411"/>
        <w:gridCol w:w="1650"/>
        <w:gridCol w:w="1364"/>
        <w:gridCol w:w="1575"/>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23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06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Promover Ações e Medidas de Formação e a Capacitação Bombeiro Militar</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Plano de Ensino (PE)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(Programa de Ensino Anual - PROENS) Conf orientação dessa Gerência, alterado para Guarda Permanente.</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Relatório Final de Curso (RFC)</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25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(Relatório de fim de curso)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003 - Quadro de Trabalho Semanal (QTS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25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(Quadro de Trabalho Semanal)</w:t>
            </w:r>
          </w:p>
        </w:tc>
      </w:tr>
    </w:tbl>
    <w:p>
      <w:pPr>
        <w:pStyle w:val="Normal"/>
        <w:rPr>
          <w:rFonts w:ascii="Times New Roman" w:hAnsi="Times New Roman"/>
          <w:sz w:val="20"/>
          <w:szCs w:val="20"/>
          <w:lang w:val="pt-BR"/>
        </w:rPr>
      </w:pPr>
      <w:r>
        <w:rPr>
          <w:sz w:val="20"/>
          <w:szCs w:val="20"/>
          <w:lang w:val="pt-BR"/>
        </w:rPr>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Subfunção: 04 – Ações de Segurança Bombeiro Militar</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tbl>
      <w:tblPr>
        <w:tblW w:w="15990" w:type="dxa"/>
        <w:jc w:val="left"/>
        <w:tblInd w:w="87" w:type="dxa"/>
        <w:tblLayout w:type="fixed"/>
        <w:tblCellMar>
          <w:top w:w="55" w:type="dxa"/>
          <w:left w:w="55" w:type="dxa"/>
          <w:bottom w:w="55" w:type="dxa"/>
          <w:right w:w="55" w:type="dxa"/>
        </w:tblCellMar>
      </w:tblPr>
      <w:tblGrid>
        <w:gridCol w:w="2550"/>
        <w:gridCol w:w="3239"/>
        <w:gridCol w:w="1411"/>
        <w:gridCol w:w="1650"/>
        <w:gridCol w:w="1364"/>
        <w:gridCol w:w="1575"/>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23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06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Promover Ações de Controle e Regulação de Material Bélico</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Processo sobre Renovação de Registro e/ou Porte de Arma de Fogo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(Gerenciamento Militar de Armas - Aquisição, registro, controle, fiscalização)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Processo sobre Transferência de Registro de Arma de Fogo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(Termo de transferência de armas ou munições)</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003 - Processo sobre Aquisição de Arma de Fogo e/ou Munição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25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(Autorização para aquisição de armas de uso..) Alterado para guarda permanente por orientação do Setor de Material Bélico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Registro sobre Roubo/ Furto/ Perda/</w:t>
            </w:r>
          </w:p>
          <w:p>
            <w:pPr>
              <w:pStyle w:val="Contedodatabela"/>
              <w:jc w:val="both"/>
              <w:rPr>
                <w:sz w:val="20"/>
                <w:szCs w:val="20"/>
              </w:rPr>
            </w:pPr>
            <w:r>
              <w:rPr>
                <w:rFonts w:eastAsia="Times New Roman" w:cs="Times New Roman"/>
                <w:sz w:val="20"/>
                <w:szCs w:val="20"/>
                <w:lang w:val="pt-BR"/>
              </w:rPr>
              <w:t>Extravio de Arma de Fogo e/ou Munição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(Relatório sobre armas extraviadas, furtadas ou roubadas)</w:t>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02 - Promover Ações de Coordenação, Controle, Orientação e Regulação das Atividades Operacionais</w:t>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001 - Ordem de Serviço</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25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(Ordem de serviço sobre planejamento de necessidade de pessoal)</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002 - Diretriz Operacional Permanente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(Terrestre, diretrizes e orientações setoriais)</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003 - Diretriz de Procedimento Administrativo Permanente</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(Terrestre, diretrizes e orientações setoriais)</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004 - Instrução Reguladora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(Instrução Reguladora e Geral)</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005 - Ordem Administrativa</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(Política de Defesa Nacional, Ordem)</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23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006 - Procedimento Administrativo Padrão sobre a Regulação das Atividades Operacionais</w:t>
            </w:r>
          </w:p>
        </w:tc>
        <w:tc>
          <w:tcPr>
            <w:tcW w:w="141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(Preparação e Administração - Procedimento- Padrão)</w:t>
            </w:r>
          </w:p>
        </w:tc>
      </w:tr>
    </w:tbl>
    <w:p>
      <w:pPr>
        <w:pStyle w:val="Normal"/>
        <w:rPr>
          <w:rFonts w:ascii="Times New Roman" w:hAnsi="Times New Roman"/>
          <w:sz w:val="20"/>
          <w:szCs w:val="20"/>
          <w:lang w:val="pt-BR"/>
        </w:rPr>
      </w:pPr>
      <w:r>
        <w:rPr>
          <w:sz w:val="20"/>
          <w:szCs w:val="20"/>
          <w:lang w:val="pt-BR"/>
        </w:rPr>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Subfunção: 05 – Divulgação e Publicação das Ações Bombeiro Militar</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tbl>
      <w:tblPr>
        <w:tblW w:w="15990" w:type="dxa"/>
        <w:jc w:val="left"/>
        <w:tblInd w:w="87" w:type="dxa"/>
        <w:tblLayout w:type="fixed"/>
        <w:tblCellMar>
          <w:top w:w="55" w:type="dxa"/>
          <w:left w:w="55" w:type="dxa"/>
          <w:bottom w:w="55" w:type="dxa"/>
          <w:right w:w="55" w:type="dxa"/>
        </w:tblCellMar>
      </w:tblPr>
      <w:tblGrid>
        <w:gridCol w:w="2550"/>
        <w:gridCol w:w="3059"/>
        <w:gridCol w:w="1591"/>
        <w:gridCol w:w="1650"/>
        <w:gridCol w:w="1364"/>
        <w:gridCol w:w="1575"/>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05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24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Produzir, Editar, Divulgar e Circular o Boletim Bombeiro Militar</w:t>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001 - Boletim do Corpo de Bombeiros Militar</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002 - Boletim Reservado do Corpo de Bombeiros Militar</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003 - Boletim Especial do Corpo de Bombeiros Militar</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004 - Boletim Reservado Especial do Corpo de Bombeiros Militar</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005 - Boletim Interno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006 - Boletim Interno Reservado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007 - Boletim Administrativo Reservado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008 - Boletim Oficial Eletrônico do Corpo de Bombeiros Militar</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3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da Atividade-Meio da Administração Pública - CONARQ</w:t>
            </w:r>
          </w:p>
        </w:tc>
      </w:tr>
    </w:tbl>
    <w:p>
      <w:pPr>
        <w:pStyle w:val="Normal"/>
        <w:rPr>
          <w:rFonts w:ascii="Times New Roman" w:hAnsi="Times New Roman"/>
          <w:sz w:val="20"/>
          <w:szCs w:val="20"/>
          <w:lang w:val="pt-BR"/>
        </w:rPr>
      </w:pPr>
      <w:r>
        <w:rPr>
          <w:sz w:val="20"/>
          <w:szCs w:val="20"/>
          <w:lang w:val="pt-BR"/>
        </w:rPr>
      </w:r>
    </w:p>
    <w:p>
      <w:pPr>
        <w:pStyle w:val="Normal"/>
        <w:widowControl/>
        <w:suppressAutoHyphens w:val="true"/>
        <w:overflowPunct w:val="false"/>
        <w:bidi w:val="0"/>
        <w:spacing w:lineRule="auto" w:line="240"/>
        <w:ind w:hanging="0" w:left="0" w:right="0"/>
        <w:jc w:val="both"/>
        <w:textAlignment w:val="baseline"/>
        <w:rPr>
          <w:sz w:val="20"/>
          <w:szCs w:val="20"/>
        </w:rPr>
      </w:pPr>
      <w:r>
        <w:rPr>
          <w:rFonts w:eastAsia="Times New Roman" w:cs="Times New Roman"/>
          <w:b w:val="false"/>
          <w:bCs w:val="false"/>
          <w:color w:val="000000"/>
          <w:sz w:val="20"/>
          <w:szCs w:val="20"/>
          <w:lang w:val="pt-BR" w:eastAsia="pt-BR" w:bidi="ar-SA"/>
        </w:rPr>
        <w:t>Subfunção: 06 – Operacionalização das Ações de Integração dos Serviços Auxiliares</w:t>
      </w:r>
    </w:p>
    <w:p>
      <w:pPr>
        <w:pStyle w:val="Normal"/>
        <w:widowControl/>
        <w:suppressAutoHyphens w:val="true"/>
        <w:overflowPunct w:val="false"/>
        <w:bidi w:val="0"/>
        <w:spacing w:lineRule="auto" w:line="240"/>
        <w:ind w:hanging="0" w:left="0" w:right="0"/>
        <w:jc w:val="both"/>
        <w:textAlignment w:val="baseline"/>
        <w:rPr>
          <w:rFonts w:ascii="Times New Roman" w:hAnsi="Times New Roman" w:eastAsia="Times New Roman" w:cs="Times New Roman"/>
          <w:b w:val="false"/>
          <w:bCs w:val="false"/>
          <w:color w:val="000000"/>
          <w:sz w:val="20"/>
          <w:szCs w:val="20"/>
          <w:lang w:val="pt-BR" w:eastAsia="pt-BR" w:bidi="ar-SA"/>
        </w:rPr>
      </w:pPr>
      <w:r>
        <w:rPr>
          <w:rFonts w:eastAsia="Times New Roman" w:cs="Times New Roman"/>
          <w:b w:val="false"/>
          <w:bCs w:val="false"/>
          <w:color w:val="000000"/>
          <w:sz w:val="20"/>
          <w:szCs w:val="20"/>
          <w:lang w:val="pt-BR" w:eastAsia="pt-BR" w:bidi="ar-SA"/>
        </w:rPr>
      </w:r>
    </w:p>
    <w:tbl>
      <w:tblPr>
        <w:tblW w:w="15990" w:type="dxa"/>
        <w:jc w:val="left"/>
        <w:tblInd w:w="87" w:type="dxa"/>
        <w:tblLayout w:type="fixed"/>
        <w:tblCellMar>
          <w:top w:w="55" w:type="dxa"/>
          <w:left w:w="55" w:type="dxa"/>
          <w:bottom w:w="55" w:type="dxa"/>
          <w:right w:w="55" w:type="dxa"/>
        </w:tblCellMar>
      </w:tblPr>
      <w:tblGrid>
        <w:gridCol w:w="2550"/>
        <w:gridCol w:w="3059"/>
        <w:gridCol w:w="1591"/>
        <w:gridCol w:w="1650"/>
        <w:gridCol w:w="1364"/>
        <w:gridCol w:w="1575"/>
        <w:gridCol w:w="4200"/>
      </w:tblGrid>
      <w:tr>
        <w:trPr/>
        <w:tc>
          <w:tcPr>
            <w:tcW w:w="2550"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Atividade</w:t>
            </w:r>
          </w:p>
        </w:tc>
        <w:tc>
          <w:tcPr>
            <w:tcW w:w="3059" w:type="dxa"/>
            <w:vMerge w:val="restart"/>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Documento</w:t>
            </w:r>
          </w:p>
        </w:tc>
        <w:tc>
          <w:tcPr>
            <w:tcW w:w="3241"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Prazo de guarda</w:t>
            </w:r>
          </w:p>
        </w:tc>
        <w:tc>
          <w:tcPr>
            <w:tcW w:w="2939" w:type="dxa"/>
            <w:gridSpan w:val="2"/>
            <w:tcBorders>
              <w:top w:val="single" w:sz="2" w:space="0" w:color="000000"/>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Destinação</w:t>
            </w:r>
          </w:p>
        </w:tc>
        <w:tc>
          <w:tcPr>
            <w:tcW w:w="4200" w:type="dxa"/>
            <w:vMerge w:val="restart"/>
            <w:tcBorders>
              <w:top w:val="single" w:sz="2" w:space="0" w:color="000000"/>
              <w:left w:val="single" w:sz="2" w:space="0" w:color="000000"/>
              <w:bottom w:val="single" w:sz="2" w:space="0" w:color="000000"/>
              <w:right w:val="single" w:sz="2" w:space="0" w:color="000000"/>
            </w:tcBorders>
          </w:tcPr>
          <w:p>
            <w:pPr>
              <w:pStyle w:val="Contedodatabela"/>
              <w:jc w:val="center"/>
              <w:rPr>
                <w:sz w:val="20"/>
                <w:szCs w:val="20"/>
              </w:rPr>
            </w:pPr>
            <w:r>
              <w:rPr>
                <w:rFonts w:eastAsia="Times New Roman" w:cs="Times New Roman"/>
                <w:sz w:val="20"/>
                <w:szCs w:val="20"/>
                <w:lang w:val="pt-BR"/>
              </w:rPr>
              <w:t>Observação</w:t>
            </w:r>
          </w:p>
        </w:tc>
      </w:tr>
      <w:tr>
        <w:trPr/>
        <w:tc>
          <w:tcPr>
            <w:tcW w:w="2550"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vMerge w:val="continue"/>
            <w:tcBorders>
              <w:top w:val="single" w:sz="2" w:space="0" w:color="000000"/>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corrente</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Fase intermediária</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Eliminação</w:t>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Guarda Permanente</w:t>
            </w:r>
          </w:p>
        </w:tc>
        <w:tc>
          <w:tcPr>
            <w:tcW w:w="4200" w:type="dxa"/>
            <w:vMerge w:val="continue"/>
            <w:tcBorders>
              <w:top w:val="single" w:sz="2" w:space="0" w:color="000000"/>
              <w:left w:val="single" w:sz="2" w:space="0" w:color="000000"/>
              <w:bottom w:val="single" w:sz="2" w:space="0" w:color="000000"/>
              <w:right w:val="single" w:sz="2" w:space="0" w:color="000000"/>
            </w:tcBorders>
          </w:tcPr>
          <w:p>
            <w:pPr>
              <w:pStyle w:val="Normal"/>
              <w:rPr>
                <w:rFonts w:ascii="Times New Roman" w:hAnsi="Times New Roman"/>
                <w:sz w:val="20"/>
                <w:szCs w:val="20"/>
                <w:lang w:val="pt-BR"/>
              </w:rPr>
            </w:pPr>
            <w:r>
              <w:rPr>
                <w:sz w:val="20"/>
                <w:szCs w:val="20"/>
                <w:lang w:val="pt-BR"/>
              </w:rPr>
            </w:r>
          </w:p>
        </w:tc>
      </w:tr>
      <w:tr>
        <w:trPr/>
        <w:tc>
          <w:tcPr>
            <w:tcW w:w="2550" w:type="dxa"/>
            <w:vMerge w:val="restart"/>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01 - Promover Ações para a Inclusão, Controle, Coordenação, Planejamento e Integração dos Serviços Auxiliares</w:t>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001 - Termo de Adesão ao Serviço Voluntário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95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(Termo de compromisso)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002 - Termo de Anuência</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95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(Termo de compromisso)</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003 - Certidão Negativa de Antecedentes Criminais</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004 - Atestado de Sanidade Mental e Capacidade Física</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005 - Laudo de Exame Toxicológico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47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006 - Plano Mensal de Emprego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007 - Relatório Mensal do Serviço Comunitário Ressarcido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008 - Plano Geral dos Programas Comunitários</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a letra a), inciso VI, Art 4º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009 - Processo Administrativo do Bombeiro</w:t>
            </w:r>
          </w:p>
          <w:p>
            <w:pPr>
              <w:pStyle w:val="Contedodatabela"/>
              <w:jc w:val="left"/>
              <w:rPr>
                <w:sz w:val="20"/>
                <w:szCs w:val="20"/>
              </w:rPr>
            </w:pPr>
            <w:r>
              <w:rPr>
                <w:rFonts w:eastAsia="Times New Roman" w:cs="Times New Roman"/>
                <w:sz w:val="20"/>
                <w:szCs w:val="20"/>
                <w:lang w:val="pt-BR"/>
              </w:rPr>
              <w:t>Comunitário - PABC</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 único, Art 4º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010 - Formulário de Verificação Procedimental - Check List</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enquanto vigora</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VI, Art 7º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011 - Projeto de Programa Comunitário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a letra a), inciso VI, Art 4º da Lei 9747/1994</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left"/>
              <w:rPr>
                <w:sz w:val="20"/>
                <w:szCs w:val="20"/>
              </w:rPr>
            </w:pPr>
            <w:r>
              <w:rPr>
                <w:rFonts w:eastAsia="Times New Roman" w:cs="Times New Roman"/>
                <w:sz w:val="20"/>
                <w:szCs w:val="20"/>
                <w:lang w:val="pt-BR"/>
              </w:rPr>
              <w:t>012 - Registro de Certificado de Programa Comunitário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1575"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Com base na TTDD do Ministério da Defesa (Conclusão de Curso - Registros finais)</w:t>
            </w:r>
          </w:p>
        </w:tc>
      </w:tr>
      <w:tr>
        <w:trPr/>
        <w:tc>
          <w:tcPr>
            <w:tcW w:w="2550" w:type="dxa"/>
            <w:vMerge w:val="continue"/>
            <w:tcBorders>
              <w:left w:val="single" w:sz="2" w:space="0" w:color="000000"/>
              <w:bottom w:val="single" w:sz="2" w:space="0" w:color="000000"/>
            </w:tcBorders>
          </w:tcPr>
          <w:p>
            <w:pPr>
              <w:pStyle w:val="Normal"/>
              <w:rPr>
                <w:rFonts w:ascii="Times New Roman" w:hAnsi="Times New Roman"/>
                <w:sz w:val="20"/>
                <w:szCs w:val="20"/>
                <w:lang w:val="pt-BR"/>
              </w:rPr>
            </w:pPr>
            <w:r>
              <w:rPr>
                <w:sz w:val="20"/>
                <w:szCs w:val="20"/>
                <w:lang w:val="pt-BR"/>
              </w:rPr>
            </w:r>
          </w:p>
        </w:tc>
        <w:tc>
          <w:tcPr>
            <w:tcW w:w="3059" w:type="dxa"/>
            <w:tcBorders>
              <w:left w:val="single" w:sz="2" w:space="0" w:color="000000"/>
              <w:bottom w:val="single" w:sz="2" w:space="0" w:color="000000"/>
            </w:tcBorders>
          </w:tcPr>
          <w:p>
            <w:pPr>
              <w:pStyle w:val="Contedodatabela"/>
              <w:jc w:val="both"/>
              <w:rPr>
                <w:sz w:val="20"/>
                <w:szCs w:val="20"/>
              </w:rPr>
            </w:pPr>
            <w:r>
              <w:rPr>
                <w:rFonts w:eastAsia="Times New Roman" w:cs="Times New Roman"/>
                <w:sz w:val="20"/>
                <w:szCs w:val="20"/>
                <w:lang w:val="pt-BR"/>
              </w:rPr>
              <w:t>013 - Ofício sobre Transferência de Bombeiro Comunitário</w:t>
            </w:r>
          </w:p>
        </w:tc>
        <w:tc>
          <w:tcPr>
            <w:tcW w:w="1591"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5 anos</w:t>
            </w:r>
          </w:p>
        </w:tc>
        <w:tc>
          <w:tcPr>
            <w:tcW w:w="1650"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10 anos</w:t>
            </w:r>
          </w:p>
        </w:tc>
        <w:tc>
          <w:tcPr>
            <w:tcW w:w="1364" w:type="dxa"/>
            <w:tcBorders>
              <w:left w:val="single" w:sz="2" w:space="0" w:color="000000"/>
              <w:bottom w:val="single" w:sz="2" w:space="0" w:color="000000"/>
            </w:tcBorders>
          </w:tcPr>
          <w:p>
            <w:pPr>
              <w:pStyle w:val="Contedodatabela"/>
              <w:jc w:val="center"/>
              <w:rPr>
                <w:sz w:val="20"/>
                <w:szCs w:val="20"/>
              </w:rPr>
            </w:pPr>
            <w:r>
              <w:rPr>
                <w:rFonts w:eastAsia="Times New Roman" w:cs="Times New Roman"/>
                <w:sz w:val="20"/>
                <w:szCs w:val="20"/>
                <w:lang w:val="pt-BR"/>
              </w:rPr>
              <w:t>X</w:t>
            </w:r>
          </w:p>
        </w:tc>
        <w:tc>
          <w:tcPr>
            <w:tcW w:w="1575" w:type="dxa"/>
            <w:tcBorders>
              <w:left w:val="single" w:sz="2" w:space="0" w:color="000000"/>
              <w:bottom w:val="single" w:sz="2" w:space="0" w:color="000000"/>
            </w:tcBorders>
          </w:tcPr>
          <w:p>
            <w:pPr>
              <w:pStyle w:val="Contedodatabela"/>
              <w:jc w:val="center"/>
              <w:rPr>
                <w:rFonts w:ascii="Times New Roman" w:hAnsi="Times New Roman" w:eastAsia="Times New Roman" w:cs="Times New Roman"/>
                <w:sz w:val="20"/>
                <w:szCs w:val="20"/>
                <w:lang w:val="pt-BR"/>
              </w:rPr>
            </w:pPr>
            <w:r>
              <w:rPr>
                <w:rFonts w:eastAsia="Times New Roman" w:cs="Times New Roman"/>
                <w:sz w:val="20"/>
                <w:szCs w:val="20"/>
                <w:lang w:val="pt-BR"/>
              </w:rPr>
            </w:r>
          </w:p>
        </w:tc>
        <w:tc>
          <w:tcPr>
            <w:tcW w:w="4200" w:type="dxa"/>
            <w:tcBorders>
              <w:left w:val="single" w:sz="2" w:space="0" w:color="000000"/>
              <w:bottom w:val="single" w:sz="2" w:space="0" w:color="000000"/>
              <w:right w:val="single" w:sz="2" w:space="0" w:color="000000"/>
            </w:tcBorders>
          </w:tcPr>
          <w:p>
            <w:pPr>
              <w:pStyle w:val="Contedodatabela"/>
              <w:jc w:val="both"/>
              <w:rPr>
                <w:sz w:val="20"/>
                <w:szCs w:val="20"/>
              </w:rPr>
            </w:pPr>
            <w:r>
              <w:rPr>
                <w:rFonts w:eastAsia="Times New Roman" w:cs="Times New Roman"/>
                <w:sz w:val="20"/>
                <w:szCs w:val="20"/>
                <w:lang w:val="pt-BR"/>
              </w:rPr>
              <w:t>Para fins de TTDD, foi considerado o inciso III, Art 7º da Lei 9747/1994 (documento recapitulado em ficha de transferência)</w:t>
            </w:r>
          </w:p>
        </w:tc>
      </w:tr>
    </w:tbl>
    <w:p>
      <w:pPr>
        <w:pStyle w:val="Normal"/>
        <w:rPr>
          <w:rFonts w:ascii="Times New Roman" w:hAnsi="Times New Roman"/>
          <w:sz w:val="20"/>
          <w:szCs w:val="20"/>
          <w:lang w:val="pt-BR"/>
        </w:rPr>
      </w:pPr>
      <w:r>
        <w:rPr>
          <w:sz w:val="20"/>
          <w:szCs w:val="20"/>
          <w:lang w:val="pt-BR"/>
        </w:rPr>
      </w:r>
    </w:p>
    <w:p>
      <w:pPr>
        <w:pStyle w:val="Normal"/>
        <w:rPr>
          <w:rFonts w:ascii="Times New Roman" w:hAnsi="Times New Roman"/>
          <w:sz w:val="20"/>
          <w:szCs w:val="20"/>
          <w:lang w:val="pt-BR"/>
        </w:rPr>
      </w:pPr>
      <w:r>
        <w:rPr>
          <w:sz w:val="20"/>
          <w:szCs w:val="20"/>
          <w:lang w:val="pt-BR"/>
        </w:rPr>
      </w:r>
      <w:r>
        <w:br w:type="page"/>
      </w:r>
    </w:p>
    <w:p>
      <w:pPr>
        <w:pStyle w:val="Normal"/>
        <w:spacing w:before="0" w:after="0"/>
        <w:jc w:val="center"/>
        <w:rPr>
          <w:sz w:val="20"/>
          <w:szCs w:val="20"/>
        </w:rPr>
      </w:pPr>
      <w:r>
        <w:rPr>
          <w:b/>
          <w:bCs/>
          <w:sz w:val="20"/>
          <w:szCs w:val="20"/>
          <w:lang w:val="pt-BR"/>
        </w:rPr>
        <w:t>APÊNDICE E – PROPOSTA DE ATUALIZAÇÃO DA TTDD</w:t>
      </w:r>
    </w:p>
    <w:p>
      <w:pPr>
        <w:pStyle w:val="Normal"/>
        <w:rPr>
          <w:rFonts w:ascii="Times New Roman" w:hAnsi="Times New Roman"/>
          <w:sz w:val="20"/>
          <w:szCs w:val="20"/>
          <w:lang w:val="pt-BR"/>
        </w:rPr>
      </w:pPr>
      <w:r>
        <w:rPr>
          <w:sz w:val="20"/>
          <w:szCs w:val="20"/>
          <w:lang w:val="pt-BR"/>
        </w:rPr>
      </w:r>
    </w:p>
    <w:tbl>
      <w:tblPr>
        <w:tblW w:w="11078" w:type="dxa"/>
        <w:jc w:val="left"/>
        <w:tblInd w:w="28" w:type="dxa"/>
        <w:tblLayout w:type="fixed"/>
        <w:tblCellMar>
          <w:top w:w="28" w:type="dxa"/>
          <w:left w:w="28" w:type="dxa"/>
          <w:bottom w:w="28" w:type="dxa"/>
          <w:right w:w="28" w:type="dxa"/>
        </w:tblCellMar>
      </w:tblPr>
      <w:tblGrid>
        <w:gridCol w:w="1690"/>
        <w:gridCol w:w="7462"/>
        <w:gridCol w:w="800"/>
        <w:gridCol w:w="1125"/>
      </w:tblGrid>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GRUPO:</w:t>
            </w:r>
          </w:p>
        </w:tc>
        <w:tc>
          <w:tcPr>
            <w:tcW w:w="7462" w:type="dxa"/>
            <w:tcBorders>
              <w:top w:val="single" w:sz="8" w:space="0" w:color="FFFFFF"/>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6- GESTÃO DE SERVIÇOS PÚBLICOS</w:t>
            </w:r>
          </w:p>
        </w:tc>
        <w:tc>
          <w:tcPr>
            <w:tcW w:w="800"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SUBGRUPO:</w:t>
            </w:r>
          </w:p>
        </w:tc>
        <w:tc>
          <w:tcPr>
            <w:tcW w:w="7462"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3 - Segurança Pública</w:t>
            </w:r>
          </w:p>
        </w:tc>
        <w:tc>
          <w:tcPr>
            <w:tcW w:w="800"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FUNÇÃO:</w:t>
            </w:r>
          </w:p>
        </w:tc>
        <w:tc>
          <w:tcPr>
            <w:tcW w:w="7462"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6 - Corpo de Bombeiros Militar</w:t>
            </w:r>
          </w:p>
        </w:tc>
        <w:tc>
          <w:tcPr>
            <w:tcW w:w="800" w:type="dxa"/>
            <w:tcBorders>
              <w:top w:val="single" w:sz="8" w:space="0" w:color="FFFFFF"/>
              <w:left w:val="single" w:sz="8" w:space="0" w:color="FFFFFF"/>
              <w:bottom w:val="single" w:sz="8" w:space="0" w:color="FFFFFF"/>
              <w:right w:val="single" w:sz="8" w:space="0" w:color="FFFFFF"/>
            </w:tcBorders>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Data:</w:t>
            </w:r>
          </w:p>
        </w:tc>
        <w:tc>
          <w:tcPr>
            <w:tcW w:w="1125" w:type="dxa"/>
            <w:tcBorders>
              <w:top w:val="single" w:sz="8" w:space="0" w:color="FFFFFF"/>
              <w:left w:val="single" w:sz="8" w:space="0" w:color="FFFFFF"/>
              <w:bottom w:val="single" w:sz="8" w:space="0" w:color="000000"/>
              <w:right w:val="single" w:sz="8" w:space="0" w:color="FFFFFF"/>
            </w:tcBorders>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10/06/2025</w:t>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SUBFUNÇÃO:</w:t>
            </w:r>
          </w:p>
        </w:tc>
        <w:tc>
          <w:tcPr>
            <w:tcW w:w="7462"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2 - Segurança Contra Incêndios</w:t>
            </w:r>
          </w:p>
        </w:tc>
        <w:tc>
          <w:tcPr>
            <w:tcW w:w="800"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000000"/>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ATIVIDADE:</w:t>
            </w:r>
          </w:p>
        </w:tc>
        <w:tc>
          <w:tcPr>
            <w:tcW w:w="7462"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1 - Normatizar e Promover Ações e Medidas de Segurança Contra Incêndios e Pânico</w:t>
            </w:r>
          </w:p>
        </w:tc>
        <w:tc>
          <w:tcPr>
            <w:tcW w:w="800"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rPr>
                <w:rFonts w:ascii="Times New Roman" w:hAnsi="Times New Roman"/>
                <w:b w:val="false"/>
                <w:bCs w:val="false"/>
                <w:sz w:val="20"/>
                <w:szCs w:val="20"/>
                <w:lang w:val="pt-BR" w:eastAsia="zh-CN" w:bidi="hi-IN"/>
              </w:rPr>
            </w:pPr>
            <w:r>
              <w:rPr>
                <w:b w:val="false"/>
                <w:bCs w:val="false"/>
                <w:sz w:val="20"/>
                <w:szCs w:val="20"/>
                <w:lang w:val="pt-BR" w:eastAsia="zh-CN" w:bidi="hi-IN"/>
              </w:rPr>
            </w:r>
          </w:p>
        </w:tc>
      </w:tr>
    </w:tbl>
    <w:p>
      <w:pPr>
        <w:pStyle w:val="BodyText"/>
        <w:rPr>
          <w:b w:val="false"/>
          <w:sz w:val="20"/>
          <w:szCs w:val="20"/>
          <w:lang w:val="pt-BR"/>
        </w:rPr>
      </w:pPr>
      <w:r>
        <w:rPr>
          <w:b w:val="false"/>
          <w:sz w:val="20"/>
          <w:szCs w:val="20"/>
          <w:lang w:val="pt-BR"/>
        </w:rPr>
      </w:r>
    </w:p>
    <w:tbl>
      <w:tblPr>
        <w:tblW w:w="15990" w:type="dxa"/>
        <w:jc w:val="left"/>
        <w:tblInd w:w="28" w:type="dxa"/>
        <w:tblLayout w:type="fixed"/>
        <w:tblCellMar>
          <w:top w:w="28" w:type="dxa"/>
          <w:left w:w="28" w:type="dxa"/>
          <w:bottom w:w="28" w:type="dxa"/>
          <w:right w:w="28" w:type="dxa"/>
        </w:tblCellMar>
      </w:tblPr>
      <w:tblGrid>
        <w:gridCol w:w="3824"/>
        <w:gridCol w:w="1275"/>
        <w:gridCol w:w="1936"/>
        <w:gridCol w:w="1185"/>
        <w:gridCol w:w="1589"/>
        <w:gridCol w:w="6180"/>
      </w:tblGrid>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DADOS GERAIS DOS DOCUMENTOS</w:t>
            </w:r>
          </w:p>
        </w:tc>
        <w:tc>
          <w:tcPr>
            <w:tcW w:w="5985" w:type="dxa"/>
            <w:gridSpan w:val="4"/>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AVALIAÇÃO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(De acordo com a Lei nº 9.747 de 26/11/1994)</w:t>
            </w:r>
          </w:p>
        </w:tc>
        <w:tc>
          <w:tcPr>
            <w:tcW w:w="6180" w:type="dxa"/>
            <w:tcBorders>
              <w:top w:val="single" w:sz="8" w:space="0" w:color="000000"/>
              <w:left w:val="single" w:sz="8" w:space="0" w:color="000000"/>
              <w:bottom w:val="single" w:sz="8" w:space="0" w:color="FFFFFF"/>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OBSERVAÇÕES</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TIPO DOCUMENTAL</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(Espécie + Assunto)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ARQUIVO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CORRENTE</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de vigência)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ARQUIVO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INTERMEDIÁRIO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prescricional;</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precaucional)</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Eliminação</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Guarda Permanente</w:t>
            </w:r>
          </w:p>
        </w:tc>
        <w:tc>
          <w:tcPr>
            <w:tcW w:w="6180" w:type="dxa"/>
            <w:tcBorders>
              <w:top w:val="single" w:sz="8" w:space="0" w:color="FFFFFF"/>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Auditoria Orientativa ou Fiscalizatória</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Para fins de TTDD, foi considerado o inciso I do § único do Art 4º da Lei 9747/1994.Este processo visa cumprir o </w:t>
            </w:r>
            <w:hyperlink r:id="rId65">
              <w:r>
                <w:rPr>
                  <w:rStyle w:val="Hyperlink"/>
                  <w:b w:val="false"/>
                  <w:i w:val="false"/>
                  <w:caps w:val="false"/>
                  <w:smallCaps w:val="false"/>
                  <w:strike w:val="false"/>
                  <w:dstrike w:val="false"/>
                  <w:color w:val="1155CC"/>
                  <w:sz w:val="20"/>
                  <w:szCs w:val="20"/>
                  <w:u w:val="single"/>
                  <w:effect w:val="none"/>
                  <w:shd w:fill="auto" w:val="clear"/>
                  <w:lang w:val="pt-BR" w:eastAsia="zh-CN" w:bidi="hi-IN"/>
                </w:rPr>
                <w:t>Art 12, § 1º da Lei 16157/13</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sobre Elaboração de Normas</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Para fins de TTDD, foi considerado o inciso I do § único do Art 4º da Lei 9747/1994. Este processo visa cumprir o </w:t>
            </w:r>
            <w:hyperlink r:id="rId66">
              <w:r>
                <w:rPr>
                  <w:rStyle w:val="Hyperlink"/>
                  <w:b w:val="false"/>
                  <w:i w:val="false"/>
                  <w:caps w:val="false"/>
                  <w:smallCaps w:val="false"/>
                  <w:strike w:val="false"/>
                  <w:dstrike w:val="false"/>
                  <w:color w:val="1155CC"/>
                  <w:sz w:val="20"/>
                  <w:szCs w:val="20"/>
                  <w:u w:val="single"/>
                  <w:effect w:val="none"/>
                  <w:shd w:fill="auto" w:val="clear"/>
                  <w:lang w:val="pt-BR" w:eastAsia="zh-CN" w:bidi="hi-IN"/>
                </w:rPr>
                <w:t>Art 5, § 1º da Lei 16157/13</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Ato de Efeito Vinculante de Decisão Técnica</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Enquanto vigora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 do § único do Art 4º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Ato de Efeito Vinculante de Parecer Técnico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Enquanto vigora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 do § único do Art 4º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sobre Revisão de Normas</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Para fins de TTDD, foi considerado o inciso I do § único do Art 4º da Lei 9747/1994. Este processo visa cumprir o </w:t>
            </w:r>
            <w:hyperlink r:id="rId67">
              <w:r>
                <w:rPr>
                  <w:rStyle w:val="Hyperlink"/>
                  <w:b w:val="false"/>
                  <w:i w:val="false"/>
                  <w:caps w:val="false"/>
                  <w:smallCaps w:val="false"/>
                  <w:strike w:val="false"/>
                  <w:dstrike w:val="false"/>
                  <w:color w:val="1155CC"/>
                  <w:sz w:val="20"/>
                  <w:szCs w:val="20"/>
                  <w:u w:val="single"/>
                  <w:effect w:val="none"/>
                  <w:shd w:fill="auto" w:val="clear"/>
                  <w:lang w:val="pt-BR" w:eastAsia="zh-CN" w:bidi="hi-IN"/>
                </w:rPr>
                <w:t>Art 5, § 1º da Lei 16157/13</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Projeto de Pesquisa em Ciência do Fogo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Para fins de TTDD, foi considerado o inciso I do § único do Art 4º da Lei 9747/1994. Este processo visa cumprir o </w:t>
            </w:r>
            <w:hyperlink r:id="rId68">
              <w:r>
                <w:rPr>
                  <w:rStyle w:val="Hyperlink"/>
                  <w:b w:val="false"/>
                  <w:i w:val="false"/>
                  <w:caps w:val="false"/>
                  <w:smallCaps w:val="false"/>
                  <w:strike w:val="false"/>
                  <w:dstrike w:val="false"/>
                  <w:color w:val="1155CC"/>
                  <w:sz w:val="20"/>
                  <w:szCs w:val="20"/>
                  <w:u w:val="single"/>
                  <w:effect w:val="none"/>
                  <w:shd w:fill="auto" w:val="clear"/>
                  <w:lang w:val="pt-BR" w:eastAsia="zh-CN" w:bidi="hi-IN"/>
                </w:rPr>
                <w:t>Art 5, § 1º da Lei 16157/13</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Consultoria Técnica Interna</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Consultoria Técnica Externa</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Análise de Aplicação de Novas Tecnologias em Combate à Incêndio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Autorização de Utilização de Norma Diversa</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Autorização de Instalação de Sistemas de Segurança Contra Incêndio Diversos</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Conselhos Técnicos de Segurança Contra Incêndio (ConSCI)</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 ano</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VI do Art 7º da Lei 9747/1994.</w:t>
            </w:r>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Parecer Jurídico sobre Segurança Contra Incêndio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69">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inciso I do § único do Art 4º da </w:t>
            </w:r>
            <w:hyperlink r:id="rId70">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Inscrição de Dívida Ativa de Multas Não Pagas</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71">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72">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Ressarcimento de Multas Pagas Indevidamente</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73">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74">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Credenciamento das Atividades Relacionadas à Brigada de Incêndio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Enquanto vigora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75">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76">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de Credenciamento de Profissionais e Empresas Relacionadas à SCI</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Enquanto vigora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77">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78">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Ofício sobre Solicitação de Prevenção em Eventos</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3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79">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80">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Processo sobre Projeto de Lei sobre Segurança Contra Incêndio e Pânico</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 anos</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pPr>
            <w:r>
              <w:rPr>
                <w:b w:val="false"/>
                <w:i w:val="false"/>
                <w:caps w:val="false"/>
                <w:smallCaps w:val="false"/>
                <w:strike w:val="false"/>
                <w:dstrike w:val="false"/>
                <w:color w:val="000000"/>
                <w:sz w:val="20"/>
                <w:szCs w:val="20"/>
                <w:u w:val="none"/>
                <w:effect w:val="none"/>
                <w:shd w:fill="auto" w:val="clear"/>
                <w:lang w:val="pt-BR" w:eastAsia="zh-CN" w:bidi="hi-IN"/>
              </w:rPr>
              <w:t xml:space="preserve">Este processo visa cumprir a </w:t>
            </w:r>
            <w:hyperlink r:id="rId81">
              <w:r>
                <w:rPr>
                  <w:rStyle w:val="Hyperlink"/>
                  <w:b w:val="false"/>
                  <w:i w:val="false"/>
                  <w:caps w:val="false"/>
                  <w:smallCaps w:val="false"/>
                  <w:strike w:val="false"/>
                  <w:dstrike w:val="false"/>
                  <w:color w:val="1155CC"/>
                  <w:sz w:val="20"/>
                  <w:szCs w:val="20"/>
                  <w:u w:val="single"/>
                  <w:effect w:val="none"/>
                  <w:shd w:fill="auto" w:val="clear"/>
                  <w:lang w:val="pt-BR" w:eastAsia="zh-CN" w:bidi="hi-IN"/>
                </w:rPr>
                <w:t>Lei 16.157/2013</w:t>
              </w:r>
            </w:hyperlink>
            <w:r>
              <w:rPr>
                <w:b w:val="false"/>
                <w:i w:val="false"/>
                <w:caps w:val="false"/>
                <w:smallCaps w:val="false"/>
                <w:strike w:val="false"/>
                <w:dstrike w:val="false"/>
                <w:color w:val="000000"/>
                <w:sz w:val="20"/>
                <w:szCs w:val="20"/>
                <w:u w:val="none"/>
                <w:effect w:val="none"/>
                <w:shd w:fill="auto" w:val="clear"/>
                <w:lang w:val="pt-BR" w:eastAsia="zh-CN" w:bidi="hi-IN"/>
              </w:rPr>
              <w:t xml:space="preserve">. Para fins de TTDD, foi considerado o Art 7º da </w:t>
            </w:r>
            <w:hyperlink r:id="rId82">
              <w:r>
                <w:rPr>
                  <w:rStyle w:val="Hyperlink"/>
                  <w:b w:val="false"/>
                  <w:i w:val="false"/>
                  <w:caps w:val="false"/>
                  <w:smallCaps w:val="false"/>
                  <w:strike w:val="false"/>
                  <w:dstrike w:val="false"/>
                  <w:color w:val="1155CC"/>
                  <w:sz w:val="20"/>
                  <w:szCs w:val="20"/>
                  <w:u w:val="single"/>
                  <w:effect w:val="none"/>
                  <w:shd w:fill="auto" w:val="clear"/>
                  <w:lang w:val="pt-BR" w:eastAsia="zh-CN" w:bidi="hi-IN"/>
                </w:rPr>
                <w:t>Lei 9747/1994</w:t>
              </w:r>
            </w:hyperlink>
          </w:p>
        </w:tc>
      </w:tr>
      <w:tr>
        <w:trPr/>
        <w:tc>
          <w:tcPr>
            <w:tcW w:w="382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Apostila de alteração de IN</w:t>
            </w:r>
          </w:p>
        </w:tc>
        <w:tc>
          <w:tcPr>
            <w:tcW w:w="1275"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enquanto vigora</w:t>
            </w:r>
          </w:p>
        </w:tc>
        <w:tc>
          <w:tcPr>
            <w:tcW w:w="1936"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10 anos</w:t>
            </w:r>
          </w:p>
        </w:tc>
        <w:tc>
          <w:tcPr>
            <w:tcW w:w="1185"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8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18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IV, Art 4º da Lei 9747/1994</w:t>
            </w:r>
          </w:p>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Está sendo criado em substituição a “025 - Nota Técnica sobre Segurança Contra Incêndio”</w:t>
            </w:r>
          </w:p>
        </w:tc>
      </w:tr>
    </w:tbl>
    <w:p>
      <w:pPr>
        <w:pStyle w:val="BodyText"/>
        <w:rPr>
          <w:sz w:val="20"/>
          <w:szCs w:val="20"/>
          <w:lang w:val="pt-BR"/>
        </w:rPr>
      </w:pPr>
      <w:r>
        <w:rPr>
          <w:sz w:val="20"/>
          <w:szCs w:val="20"/>
          <w:lang w:val="pt-BR"/>
        </w:rPr>
      </w:r>
    </w:p>
    <w:tbl>
      <w:tblPr>
        <w:tblW w:w="11078" w:type="dxa"/>
        <w:jc w:val="left"/>
        <w:tblInd w:w="28" w:type="dxa"/>
        <w:tblLayout w:type="fixed"/>
        <w:tblCellMar>
          <w:top w:w="28" w:type="dxa"/>
          <w:left w:w="28" w:type="dxa"/>
          <w:bottom w:w="28" w:type="dxa"/>
          <w:right w:w="28" w:type="dxa"/>
        </w:tblCellMar>
      </w:tblPr>
      <w:tblGrid>
        <w:gridCol w:w="1690"/>
        <w:gridCol w:w="7461"/>
        <w:gridCol w:w="801"/>
        <w:gridCol w:w="1125"/>
      </w:tblGrid>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GRUPO:</w:t>
            </w:r>
          </w:p>
        </w:tc>
        <w:tc>
          <w:tcPr>
            <w:tcW w:w="7461" w:type="dxa"/>
            <w:tcBorders>
              <w:top w:val="single" w:sz="8" w:space="0" w:color="FFFFFF"/>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6- GESTÃO DE SERVIÇOS PÚBLICOS</w:t>
            </w:r>
          </w:p>
        </w:tc>
        <w:tc>
          <w:tcPr>
            <w:tcW w:w="801"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SUBGRUPO:</w:t>
            </w:r>
          </w:p>
        </w:tc>
        <w:tc>
          <w:tcPr>
            <w:tcW w:w="7461"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3 - Segurança Pública</w:t>
            </w:r>
          </w:p>
        </w:tc>
        <w:tc>
          <w:tcPr>
            <w:tcW w:w="801"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FUNÇÃO:</w:t>
            </w:r>
          </w:p>
        </w:tc>
        <w:tc>
          <w:tcPr>
            <w:tcW w:w="7461"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6 - Corpo de Bombeiros Militar</w:t>
            </w:r>
          </w:p>
        </w:tc>
        <w:tc>
          <w:tcPr>
            <w:tcW w:w="801" w:type="dxa"/>
            <w:tcBorders>
              <w:top w:val="single" w:sz="8" w:space="0" w:color="FFFFFF"/>
              <w:left w:val="single" w:sz="8" w:space="0" w:color="FFFFFF"/>
              <w:bottom w:val="single" w:sz="8" w:space="0" w:color="FFFFFF"/>
              <w:right w:val="single" w:sz="8" w:space="0" w:color="FFFFFF"/>
            </w:tcBorders>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Data:</w:t>
            </w:r>
          </w:p>
        </w:tc>
        <w:tc>
          <w:tcPr>
            <w:tcW w:w="1125" w:type="dxa"/>
            <w:tcBorders>
              <w:top w:val="single" w:sz="8" w:space="0" w:color="FFFFFF"/>
              <w:left w:val="single" w:sz="8" w:space="0" w:color="FFFFFF"/>
              <w:bottom w:val="single" w:sz="8" w:space="0" w:color="000000"/>
              <w:right w:val="single" w:sz="8" w:space="0" w:color="FFFFFF"/>
            </w:tcBorders>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10/06/2025</w:t>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SUBFUNÇÃO:</w:t>
            </w:r>
          </w:p>
        </w:tc>
        <w:tc>
          <w:tcPr>
            <w:tcW w:w="7461"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2 - Segurança Contra Incêndios</w:t>
            </w:r>
          </w:p>
        </w:tc>
        <w:tc>
          <w:tcPr>
            <w:tcW w:w="801"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000000"/>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r>
      <w:tr>
        <w:trPr/>
        <w:tc>
          <w:tcPr>
            <w:tcW w:w="1690" w:type="dxa"/>
            <w:tcBorders/>
            <w:vAlign w:val="center"/>
          </w:tcPr>
          <w:p>
            <w:pPr>
              <w:pStyle w:val="Contedodatabela"/>
              <w:bidi w:val="0"/>
              <w:spacing w:lineRule="auto" w:line="288" w:before="0" w:after="0"/>
              <w:ind w:hanging="0" w:left="0" w:right="0"/>
              <w:jc w:val="right"/>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ATIVIDADE:</w:t>
            </w:r>
          </w:p>
        </w:tc>
        <w:tc>
          <w:tcPr>
            <w:tcW w:w="7461" w:type="dxa"/>
            <w:tcBorders>
              <w:top w:val="single" w:sz="8" w:space="0" w:color="000000"/>
              <w:bottom w:val="single" w:sz="8" w:space="0" w:color="000000"/>
              <w:right w:val="single" w:sz="8" w:space="0" w:color="FFFFFF"/>
            </w:tcBorders>
            <w:tcMar>
              <w:left w:w="0" w:type="dxa"/>
            </w:tcMar>
            <w:vAlign w:val="center"/>
          </w:tcPr>
          <w:p>
            <w:pPr>
              <w:pStyle w:val="Contedodatabela"/>
              <w:bidi w:val="0"/>
              <w:spacing w:lineRule="auto" w:line="288" w:before="0" w:after="0"/>
              <w:ind w:hanging="0" w:left="0" w:right="0"/>
              <w:rPr>
                <w:sz w:val="20"/>
                <w:szCs w:val="20"/>
              </w:rPr>
            </w:pPr>
            <w:r>
              <w:rPr>
                <w:b w:val="false"/>
                <w:bCs w:val="false"/>
                <w:i w:val="false"/>
                <w:caps w:val="false"/>
                <w:smallCaps w:val="false"/>
                <w:strike w:val="false"/>
                <w:dstrike w:val="false"/>
                <w:color w:val="000000"/>
                <w:sz w:val="20"/>
                <w:szCs w:val="20"/>
                <w:u w:val="none"/>
                <w:effect w:val="none"/>
                <w:shd w:fill="auto" w:val="clear"/>
                <w:lang w:val="pt-BR" w:eastAsia="zh-CN" w:bidi="hi-IN"/>
              </w:rPr>
              <w:t>2 - Perícia de Incêndio (apenas mudança de subfunção)</w:t>
            </w:r>
          </w:p>
        </w:tc>
        <w:tc>
          <w:tcPr>
            <w:tcW w:w="801" w:type="dxa"/>
            <w:tcBorders>
              <w:top w:val="single" w:sz="8" w:space="0" w:color="FFFFFF"/>
              <w:left w:val="single" w:sz="8" w:space="0" w:color="FFFFFF"/>
              <w:bottom w:val="single" w:sz="8" w:space="0" w:color="FFFFFF"/>
              <w:right w:val="single" w:sz="8" w:space="0" w:color="FFFFFF"/>
            </w:tcBorders>
            <w:vAlign w:val="center"/>
          </w:tcPr>
          <w:p>
            <w:pPr>
              <w:pStyle w:val="Contedodatabela"/>
              <w:ind w:hanging="0" w:left="0" w:right="0"/>
              <w:rPr>
                <w:rFonts w:ascii="Times New Roman" w:hAnsi="Times New Roman"/>
                <w:b w:val="false"/>
                <w:bCs w:val="false"/>
                <w:sz w:val="20"/>
                <w:szCs w:val="20"/>
                <w:lang w:val="pt-BR" w:eastAsia="zh-CN" w:bidi="hi-IN"/>
              </w:rPr>
            </w:pPr>
            <w:r>
              <w:rPr>
                <w:b w:val="false"/>
                <w:bCs w:val="false"/>
                <w:sz w:val="20"/>
                <w:szCs w:val="20"/>
                <w:lang w:val="pt-BR" w:eastAsia="zh-CN" w:bidi="hi-IN"/>
              </w:rPr>
            </w:r>
          </w:p>
        </w:tc>
        <w:tc>
          <w:tcPr>
            <w:tcW w:w="1125" w:type="dxa"/>
            <w:tcBorders>
              <w:top w:val="single" w:sz="8" w:space="0" w:color="FFFFFF"/>
              <w:left w:val="single" w:sz="8" w:space="0" w:color="FFFFFF"/>
              <w:bottom w:val="single" w:sz="8" w:space="0" w:color="FFFFFF"/>
              <w:right w:val="single" w:sz="8" w:space="0" w:color="FFFFFF"/>
            </w:tcBorders>
            <w:vAlign w:val="center"/>
          </w:tcPr>
          <w:p>
            <w:pPr>
              <w:pStyle w:val="Contedodatabela"/>
              <w:rPr>
                <w:rFonts w:ascii="Times New Roman" w:hAnsi="Times New Roman"/>
                <w:b w:val="false"/>
                <w:bCs w:val="false"/>
                <w:sz w:val="20"/>
                <w:szCs w:val="20"/>
                <w:lang w:val="pt-BR" w:eastAsia="zh-CN" w:bidi="hi-IN"/>
              </w:rPr>
            </w:pPr>
            <w:r>
              <w:rPr>
                <w:b w:val="false"/>
                <w:bCs w:val="false"/>
                <w:sz w:val="20"/>
                <w:szCs w:val="20"/>
                <w:lang w:val="pt-BR" w:eastAsia="zh-CN" w:bidi="hi-IN"/>
              </w:rPr>
            </w:r>
          </w:p>
        </w:tc>
      </w:tr>
    </w:tbl>
    <w:p>
      <w:pPr>
        <w:pStyle w:val="BodyText"/>
        <w:rPr>
          <w:b w:val="false"/>
          <w:sz w:val="20"/>
          <w:szCs w:val="20"/>
          <w:lang w:val="pt-BR"/>
        </w:rPr>
      </w:pPr>
      <w:r>
        <w:rPr>
          <w:b w:val="false"/>
          <w:sz w:val="20"/>
          <w:szCs w:val="20"/>
          <w:lang w:val="pt-BR"/>
        </w:rPr>
      </w:r>
    </w:p>
    <w:tbl>
      <w:tblPr>
        <w:tblW w:w="16020" w:type="dxa"/>
        <w:jc w:val="left"/>
        <w:tblInd w:w="28" w:type="dxa"/>
        <w:tblLayout w:type="fixed"/>
        <w:tblCellMar>
          <w:top w:w="28" w:type="dxa"/>
          <w:left w:w="28" w:type="dxa"/>
          <w:bottom w:w="28" w:type="dxa"/>
          <w:right w:w="28" w:type="dxa"/>
        </w:tblCellMar>
      </w:tblPr>
      <w:tblGrid>
        <w:gridCol w:w="3974"/>
        <w:gridCol w:w="1261"/>
        <w:gridCol w:w="1994"/>
        <w:gridCol w:w="1021"/>
        <w:gridCol w:w="1530"/>
        <w:gridCol w:w="6239"/>
      </w:tblGrid>
      <w:tr>
        <w:trPr/>
        <w:tc>
          <w:tcPr>
            <w:tcW w:w="397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DADOS GERAIS DOS DOCUMENTOS</w:t>
            </w:r>
          </w:p>
        </w:tc>
        <w:tc>
          <w:tcPr>
            <w:tcW w:w="5806" w:type="dxa"/>
            <w:gridSpan w:val="4"/>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AVALIAÇÃO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(De acordo com a Lei nº 9.747 de 26/11/1994)</w:t>
            </w:r>
          </w:p>
        </w:tc>
        <w:tc>
          <w:tcPr>
            <w:tcW w:w="6239" w:type="dxa"/>
            <w:tcBorders>
              <w:top w:val="single" w:sz="8" w:space="0" w:color="000000"/>
              <w:left w:val="single" w:sz="8" w:space="0" w:color="000000"/>
              <w:bottom w:val="single" w:sz="8" w:space="0" w:color="FFFFFF"/>
              <w:right w:val="single" w:sz="8" w:space="0" w:color="000000"/>
            </w:tcBorders>
            <w:vAlign w:val="center"/>
          </w:tcPr>
          <w:p>
            <w:pPr>
              <w:pStyle w:val="Contedodatabela"/>
              <w:bidi w:val="0"/>
              <w:spacing w:lineRule="auto" w:line="288" w:before="0" w:after="0"/>
              <w:ind w:hanging="0" w:left="0" w:right="0"/>
              <w:jc w:val="center"/>
              <w:rPr>
                <w:sz w:val="20"/>
                <w:szCs w:val="20"/>
              </w:rPr>
            </w:pPr>
            <w:r>
              <w:rPr>
                <w:b/>
                <w:i w:val="false"/>
                <w:caps w:val="false"/>
                <w:smallCaps w:val="false"/>
                <w:strike w:val="false"/>
                <w:dstrike w:val="false"/>
                <w:color w:val="000000"/>
                <w:sz w:val="20"/>
                <w:szCs w:val="20"/>
                <w:u w:val="none"/>
                <w:effect w:val="none"/>
                <w:shd w:fill="auto" w:val="clear"/>
                <w:lang w:val="pt-BR" w:eastAsia="zh-CN" w:bidi="hi-IN"/>
              </w:rPr>
              <w:t>OBSERVAÇÕES</w:t>
            </w:r>
          </w:p>
        </w:tc>
      </w:tr>
      <w:tr>
        <w:trPr/>
        <w:tc>
          <w:tcPr>
            <w:tcW w:w="397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TIPO DOCUMENTAL</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(Espécie + Assunto)</w:t>
            </w:r>
          </w:p>
        </w:tc>
        <w:tc>
          <w:tcPr>
            <w:tcW w:w="1261"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ARQUIVO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CORRENTE</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de vigência)</w:t>
            </w:r>
          </w:p>
        </w:tc>
        <w:tc>
          <w:tcPr>
            <w:tcW w:w="199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ARQUIVO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INTERMEDIÁRIO</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prescricional;</w:t>
            </w:r>
          </w:p>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Prazo precaucional)</w:t>
            </w:r>
          </w:p>
        </w:tc>
        <w:tc>
          <w:tcPr>
            <w:tcW w:w="1021"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Eliminação</w:t>
            </w:r>
          </w:p>
        </w:tc>
        <w:tc>
          <w:tcPr>
            <w:tcW w:w="153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Guarda Permanente</w:t>
            </w:r>
          </w:p>
        </w:tc>
        <w:tc>
          <w:tcPr>
            <w:tcW w:w="6239" w:type="dxa"/>
            <w:tcBorders>
              <w:top w:val="single" w:sz="8" w:space="0" w:color="FFFFFF"/>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r>
      <w:tr>
        <w:trPr/>
        <w:tc>
          <w:tcPr>
            <w:tcW w:w="397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Relatório Técnico de Ensaio em Investigação de Incêndio</w:t>
            </w:r>
          </w:p>
        </w:tc>
        <w:tc>
          <w:tcPr>
            <w:tcW w:w="1261"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w:t>
            </w:r>
          </w:p>
        </w:tc>
        <w:tc>
          <w:tcPr>
            <w:tcW w:w="199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50 anos</w:t>
            </w:r>
          </w:p>
        </w:tc>
        <w:tc>
          <w:tcPr>
            <w:tcW w:w="1021"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3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23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 do § único do Art 4º da Lei 9747/1994.</w:t>
            </w:r>
          </w:p>
        </w:tc>
      </w:tr>
      <w:tr>
        <w:trPr/>
        <w:tc>
          <w:tcPr>
            <w:tcW w:w="397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Relatório Técnico de Ensaio de Reação ao Fogo de Materiais</w:t>
            </w:r>
          </w:p>
        </w:tc>
        <w:tc>
          <w:tcPr>
            <w:tcW w:w="1261"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w:t>
            </w:r>
          </w:p>
        </w:tc>
        <w:tc>
          <w:tcPr>
            <w:tcW w:w="199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50 anos</w:t>
            </w:r>
          </w:p>
        </w:tc>
        <w:tc>
          <w:tcPr>
            <w:tcW w:w="1021"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3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23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 do § único do Art 4º da Lei 9747/1994.</w:t>
            </w:r>
          </w:p>
        </w:tc>
      </w:tr>
      <w:tr>
        <w:trPr/>
        <w:tc>
          <w:tcPr>
            <w:tcW w:w="397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Relatório Técnico de Ensaio e Estudos Gerais em Ciências do Fogo</w:t>
            </w:r>
          </w:p>
        </w:tc>
        <w:tc>
          <w:tcPr>
            <w:tcW w:w="1261"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2</w:t>
            </w:r>
          </w:p>
        </w:tc>
        <w:tc>
          <w:tcPr>
            <w:tcW w:w="1994"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50 anos</w:t>
            </w:r>
          </w:p>
        </w:tc>
        <w:tc>
          <w:tcPr>
            <w:tcW w:w="1021" w:type="dxa"/>
            <w:tcBorders>
              <w:top w:val="single" w:sz="8" w:space="0" w:color="000000"/>
              <w:left w:val="single" w:sz="8" w:space="0" w:color="000000"/>
              <w:bottom w:val="single" w:sz="8" w:space="0" w:color="000000"/>
              <w:right w:val="single" w:sz="8" w:space="0" w:color="000000"/>
            </w:tcBorders>
            <w:vAlign w:val="center"/>
          </w:tcPr>
          <w:p>
            <w:pPr>
              <w:pStyle w:val="Contedodatabela"/>
              <w:ind w:hanging="0" w:left="0" w:right="0"/>
              <w:rPr>
                <w:rFonts w:ascii="Times New Roman" w:hAnsi="Times New Roman"/>
                <w:sz w:val="20"/>
                <w:szCs w:val="20"/>
                <w:lang w:val="pt-BR" w:eastAsia="zh-CN" w:bidi="hi-IN"/>
              </w:rPr>
            </w:pPr>
            <w:r>
              <w:rPr>
                <w:sz w:val="20"/>
                <w:szCs w:val="20"/>
                <w:lang w:val="pt-BR" w:eastAsia="zh-CN" w:bidi="hi-IN"/>
              </w:rPr>
            </w:r>
          </w:p>
        </w:tc>
        <w:tc>
          <w:tcPr>
            <w:tcW w:w="1530"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jc w:val="center"/>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x</w:t>
            </w:r>
          </w:p>
        </w:tc>
        <w:tc>
          <w:tcPr>
            <w:tcW w:w="6239" w:type="dxa"/>
            <w:tcBorders>
              <w:top w:val="single" w:sz="8" w:space="0" w:color="000000"/>
              <w:left w:val="single" w:sz="8" w:space="0" w:color="000000"/>
              <w:bottom w:val="single" w:sz="8" w:space="0" w:color="000000"/>
              <w:right w:val="single" w:sz="8" w:space="0" w:color="000000"/>
            </w:tcBorders>
            <w:vAlign w:val="center"/>
          </w:tcPr>
          <w:p>
            <w:pPr>
              <w:pStyle w:val="Contedodatabela"/>
              <w:bidi w:val="0"/>
              <w:spacing w:lineRule="auto" w:line="288" w:before="0" w:after="0"/>
              <w:ind w:hanging="0" w:left="0" w:right="0"/>
              <w:rPr>
                <w:sz w:val="20"/>
                <w:szCs w:val="20"/>
              </w:rPr>
            </w:pPr>
            <w:r>
              <w:rPr>
                <w:b w:val="false"/>
                <w:i w:val="false"/>
                <w:caps w:val="false"/>
                <w:smallCaps w:val="false"/>
                <w:strike w:val="false"/>
                <w:dstrike w:val="false"/>
                <w:color w:val="000000"/>
                <w:sz w:val="20"/>
                <w:szCs w:val="20"/>
                <w:u w:val="none"/>
                <w:effect w:val="none"/>
                <w:shd w:fill="auto" w:val="clear"/>
                <w:lang w:val="pt-BR" w:eastAsia="zh-CN" w:bidi="hi-IN"/>
              </w:rPr>
              <w:t>Para fins de TTDD, foi considerado o inciso I do § único do Art 4º da Lei 9747/1994.</w:t>
            </w:r>
          </w:p>
        </w:tc>
      </w:tr>
    </w:tbl>
    <w:p>
      <w:pPr>
        <w:pStyle w:val="BodyText"/>
        <w:spacing w:before="0" w:after="140"/>
        <w:rPr>
          <w:rFonts w:ascii="Times New Roman" w:hAnsi="Times New Roman"/>
          <w:sz w:val="20"/>
          <w:szCs w:val="20"/>
          <w:lang w:val="pt-BR"/>
        </w:rPr>
      </w:pPr>
      <w:r>
        <w:rPr>
          <w:sz w:val="20"/>
          <w:szCs w:val="20"/>
          <w:lang w:val="pt-BR"/>
        </w:rPr>
      </w:r>
    </w:p>
    <w:sectPr>
      <w:headerReference w:type="default" r:id="rId83"/>
      <w:headerReference w:type="first" r:id="rId84"/>
      <w:footnotePr>
        <w:numFmt w:val="decimal"/>
      </w:footnotePr>
      <w:type w:val="nextPage"/>
      <w:pgSz w:orient="landscape" w:w="16838" w:h="11906"/>
      <w:pgMar w:left="317" w:right="511"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default"/>
  </w:font>
  <w:font w:name="OpenSymbol">
    <w:altName w:val="Arial Unicode MS"/>
    <w:charset w:val="01"/>
    <w:family w:val="roman"/>
    <w:pitch w:val="default"/>
  </w:font>
  <w:font w:name="Liberation Sans">
    <w:altName w:val="Arial"/>
    <w:charset w:val="01"/>
    <w:family w:val="roman"/>
    <w:pitch w:val="default"/>
  </w:font>
  <w:font w:name="Arial">
    <w:charset w:val="01"/>
    <w:family w:val="roman"/>
    <w:pitch w:val="default"/>
  </w:font>
  <w:font w:name="Liberation Mono">
    <w:altName w:val="Courier New"/>
    <w:charset w:val="01"/>
    <w:family w:val="roman"/>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p>
  </w:footnote>
  <w:footnote w:id="1" w:type="continuationSeparator">
    <w:p>
      <w:pPr>
        <w:rPr>
          <w:sz w:val="12"/>
        </w:rPr>
      </w:pPr>
      <w:r/>
    </w:p>
  </w:footnote>
  <w:footnote w:id="2">
    <w:p>
      <w:pPr>
        <w:pStyle w:val="normal1"/>
        <w:spacing w:lineRule="auto" w:line="240" w:before="0" w:after="200"/>
        <w:jc w:val="both"/>
        <w:rPr>
          <w:rFonts w:ascii="Times New Roman" w:hAnsi="Times New Roman"/>
        </w:rPr>
      </w:pPr>
      <w:r>
        <w:rPr>
          <w:rStyle w:val="Caracteresdenotaderodap"/>
        </w:rPr>
        <w:footnoteRef/>
      </w:r>
      <w:r>
        <w:rPr>
          <w:rFonts w:ascii="Times New Roman" w:hAnsi="Times New Roman"/>
          <w:sz w:val="20"/>
          <w:szCs w:val="20"/>
          <w:lang w:eastAsia="zh-CN" w:bidi="hi-IN"/>
        </w:rPr>
        <w:t xml:space="preserve">  </w:t>
      </w:r>
      <w:r>
        <w:rPr>
          <w:rFonts w:ascii="Times New Roman" w:hAnsi="Times New Roman"/>
          <w:sz w:val="20"/>
          <w:szCs w:val="20"/>
          <w:lang w:val="pt-BR" w:eastAsia="zh-CN" w:bidi="hi-IN"/>
        </w:rPr>
        <w:t>Estudante do Curso de Arquivologia do Departamento de Ciência da Informação, Centro de Ciências da Educação da Universidade Federal de Santa Catarina. E-mail: alexbel2.alexandre@gmail.com</w:t>
      </w:r>
    </w:p>
  </w:footnote>
  <w:footnote w:id="3">
    <w:p>
      <w:pPr>
        <w:pStyle w:val="normal1"/>
        <w:spacing w:lineRule="auto" w:line="240"/>
        <w:jc w:val="both"/>
        <w:rPr>
          <w:sz w:val="20"/>
          <w:szCs w:val="20"/>
        </w:rPr>
      </w:pPr>
      <w:r>
        <w:rPr>
          <w:rStyle w:val="Caracteresdenotaderodap"/>
        </w:rPr>
        <w:footnoteRef/>
      </w:r>
      <w:r>
        <w:rPr>
          <w:sz w:val="20"/>
          <w:szCs w:val="20"/>
        </w:rPr>
        <w:t xml:space="preserve"> </w:t>
      </w:r>
      <w:r>
        <w:rPr>
          <w:rFonts w:ascii="Times New Roman" w:hAnsi="Times New Roman"/>
          <w:sz w:val="20"/>
          <w:szCs w:val="20"/>
          <w:lang w:val="pt-BR" w:eastAsia="zh-CN" w:bidi="hi-IN"/>
        </w:rPr>
        <w:t>Professora do Departamento de Ciência da Informação, do Centro de Ciência da Educação da Universidade Federal de Santa Catarina. Doutora em Ciência da Informação. E-mail: graziela.m@ufsc.br</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jc w:val="right"/>
      <w:rPr>
        <w:rFonts w:ascii="Times New Roman" w:hAnsi="Times New Roman"/>
        <w:sz w:val="24"/>
        <w:szCs w:val="24"/>
      </w:rPr>
    </w:pPr>
    <w:bookmarkStart w:id="2" w:name="PageNumWizard_HEADER_Estilo_de_página_Pa"/>
    <w:r>
      <w:rPr>
        <w:rFonts w:ascii="Times New Roman" w:hAnsi="Times New Roman"/>
        <w:sz w:val="24"/>
        <w:szCs w:val="24"/>
      </w:rPr>
      <w:fldChar w:fldCharType="begin"/>
    </w:r>
    <w:r>
      <w:rPr>
        <w:sz w:val="24"/>
        <w:szCs w:val="24"/>
        <w:rFonts w:ascii="Times New Roman" w:hAnsi="Times New Roman"/>
      </w:rPr>
      <w:instrText xml:space="preserve"> PAGE </w:instrText>
    </w:r>
    <w:r>
      <w:rPr>
        <w:sz w:val="24"/>
        <w:szCs w:val="24"/>
        <w:rFonts w:ascii="Times New Roman" w:hAnsi="Times New Roman"/>
      </w:rPr>
      <w:fldChar w:fldCharType="separate"/>
    </w:r>
    <w:r>
      <w:rPr>
        <w:sz w:val="24"/>
        <w:szCs w:val="24"/>
        <w:rFonts w:ascii="Times New Roman" w:hAnsi="Times New Roman"/>
      </w:rPr>
      <w:t>27</w:t>
    </w:r>
    <w:r>
      <w:rPr>
        <w:sz w:val="24"/>
        <w:szCs w:val="24"/>
        <w:rFonts w:ascii="Times New Roman" w:hAnsi="Times New Roman"/>
      </w:rPr>
      <w:fldChar w:fldCharType="end"/>
    </w:r>
    <w:bookmarkEnd w:id="2"/>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jc w:val="right"/>
      <w:rPr>
        <w:rFonts w:ascii="Times New Roman" w:hAnsi="Times New Roman"/>
        <w:sz w:val="24"/>
        <w:szCs w:val="24"/>
      </w:rPr>
    </w:pPr>
    <w:r>
      <w:rPr>
        <w:rFonts w:ascii="Times New Roman" w:hAnsi="Times New Roman"/>
        <w:sz w:val="24"/>
        <w:szCs w:val="24"/>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rPr/>
    </w:pPr>
    <w:r>
      <w:rPr/>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settings.xml><?xml version="1.0" encoding="utf-8"?>
<w:settings xmlns:w="http://schemas.openxmlformats.org/wordprocessingml/2006/main">
  <w:zoom w:percent="100"/>
  <w:defaultTabStop w:val="720"/>
  <w:autoHyphenation w:val="true"/>
  <w:footnotePr>
    <w:numFmt w:val="decimal"/>
    <w:footnote w:id="0"/>
    <w:footnote w:id="1"/>
  </w:footnotePr>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Arial" w:cs="Arial"/>
        <w:sz w:val="24"/>
        <w:szCs w:val="22"/>
        <w:lang w:val="pt-BR" w:eastAsia="zh-CN" w:bidi="hi-IN"/>
      </w:rPr>
    </w:rPrDefault>
    <w:pPrDefault>
      <w:pPr>
        <w:suppressAutoHyphens w:val="true"/>
      </w:pPr>
    </w:pPrDefault>
  </w:docDefaults>
  <w:style w:type="paragraph" w:styleId="Normal">
    <w:name w:val="Normal"/>
    <w:qFormat/>
    <w:pPr>
      <w:widowControl/>
      <w:suppressAutoHyphens w:val="true"/>
      <w:bidi w:val="0"/>
      <w:spacing w:lineRule="auto" w:line="276" w:before="0" w:after="0"/>
      <w:jc w:val="left"/>
    </w:pPr>
    <w:rPr>
      <w:rFonts w:ascii="Times New Roman" w:hAnsi="Times New Roman" w:eastAsia="Arial" w:cs="Arial"/>
      <w:color w:val="auto"/>
      <w:kern w:val="0"/>
      <w:sz w:val="24"/>
      <w:szCs w:val="22"/>
      <w:lang w:val="en-US" w:eastAsia="zh-CN" w:bidi="hi-IN"/>
    </w:rPr>
  </w:style>
  <w:style w:type="paragraph" w:styleId="Heading1">
    <w:name w:val="Heading 1"/>
    <w:basedOn w:val="normal1"/>
    <w:next w:val="normal1"/>
    <w:qFormat/>
    <w:pPr>
      <w:keepNext w:val="true"/>
      <w:keepLines/>
      <w:pageBreakBefore w:val="false"/>
      <w:spacing w:lineRule="auto" w:line="240" w:before="400" w:after="120"/>
    </w:pPr>
    <w:rPr>
      <w:sz w:val="40"/>
      <w:szCs w:val="40"/>
    </w:rPr>
  </w:style>
  <w:style w:type="paragraph" w:styleId="Heading2">
    <w:name w:val="Heading 2"/>
    <w:basedOn w:val="normal1"/>
    <w:next w:val="normal1"/>
    <w:qFormat/>
    <w:pPr>
      <w:keepNext w:val="true"/>
      <w:keepLines/>
      <w:pageBreakBefore w:val="false"/>
      <w:spacing w:lineRule="auto" w:line="240" w:before="360" w:after="120"/>
    </w:pPr>
    <w:rPr>
      <w:b w:val="false"/>
      <w:sz w:val="32"/>
      <w:szCs w:val="32"/>
    </w:rPr>
  </w:style>
  <w:style w:type="paragraph" w:styleId="Heading3">
    <w:name w:val="Heading 3"/>
    <w:basedOn w:val="normal1"/>
    <w:next w:val="normal1"/>
    <w:qFormat/>
    <w:pPr>
      <w:keepNext w:val="true"/>
      <w:keepLines/>
      <w:pageBreakBefore w:val="false"/>
      <w:spacing w:lineRule="auto" w:line="240" w:before="320" w:after="80"/>
    </w:pPr>
    <w:rPr>
      <w:b w:val="false"/>
      <w:color w:val="434343"/>
      <w:sz w:val="28"/>
      <w:szCs w:val="28"/>
    </w:rPr>
  </w:style>
  <w:style w:type="paragraph" w:styleId="Heading4">
    <w:name w:val="Heading 4"/>
    <w:basedOn w:val="normal1"/>
    <w:next w:val="normal1"/>
    <w:qFormat/>
    <w:pPr>
      <w:keepNext w:val="true"/>
      <w:keepLines/>
      <w:pageBreakBefore w:val="false"/>
      <w:spacing w:lineRule="auto" w:line="240" w:before="280" w:after="80"/>
    </w:pPr>
    <w:rPr>
      <w:color w:val="666666"/>
      <w:sz w:val="24"/>
      <w:szCs w:val="24"/>
    </w:rPr>
  </w:style>
  <w:style w:type="paragraph" w:styleId="Heading5">
    <w:name w:val="Heading 5"/>
    <w:basedOn w:val="normal1"/>
    <w:next w:val="normal1"/>
    <w:qFormat/>
    <w:pPr>
      <w:keepNext w:val="true"/>
      <w:keepLines/>
      <w:pageBreakBefore w:val="false"/>
      <w:spacing w:lineRule="auto" w:line="240" w:before="240" w:after="80"/>
    </w:pPr>
    <w:rPr>
      <w:color w:val="666666"/>
      <w:sz w:val="22"/>
      <w:szCs w:val="22"/>
    </w:rPr>
  </w:style>
  <w:style w:type="paragraph" w:styleId="Heading6">
    <w:name w:val="Heading 6"/>
    <w:basedOn w:val="normal1"/>
    <w:next w:val="normal1"/>
    <w:qFormat/>
    <w:pPr>
      <w:keepNext w:val="true"/>
      <w:keepLines/>
      <w:pageBreakBefore w:val="false"/>
      <w:spacing w:lineRule="auto" w:line="240" w:before="240" w:after="80"/>
    </w:pPr>
    <w:rPr>
      <w:i/>
      <w:color w:val="666666"/>
      <w:sz w:val="22"/>
      <w:szCs w:val="22"/>
    </w:rPr>
  </w:style>
  <w:style w:type="character" w:styleId="Hyperlink">
    <w:name w:val="Hyperlink"/>
    <w:rPr>
      <w:color w:val="000080"/>
      <w:u w:val="single"/>
    </w:rPr>
  </w:style>
  <w:style w:type="character" w:styleId="Caracteresdenotaderodap">
    <w:name w:val="Caracteres de nota de rodapé"/>
    <w:qFormat/>
    <w:rPr>
      <w:vertAlign w:val="superscript"/>
    </w:rPr>
  </w:style>
  <w:style w:type="character" w:styleId="FootnoteReference">
    <w:name w:val="Footnote Reference"/>
    <w:rPr>
      <w:vertAlign w:val="superscript"/>
    </w:rPr>
  </w:style>
  <w:style w:type="character" w:styleId="Caracteresdenotadefim">
    <w:name w:val="Caracteres de nota de fim"/>
    <w:qFormat/>
    <w:rPr>
      <w:vertAlign w:val="superscript"/>
    </w:rPr>
  </w:style>
  <w:style w:type="character" w:styleId="EndnoteReference">
    <w:name w:val="Endnote Reference"/>
    <w:rPr>
      <w:vertAlign w:val="superscript"/>
    </w:rPr>
  </w:style>
  <w:style w:type="character" w:styleId="FollowedHyperlink">
    <w:name w:val="FollowedHyperlink"/>
    <w:rPr>
      <w:color w:val="800000"/>
      <w:u w:val="single"/>
    </w:rPr>
  </w:style>
  <w:style w:type="character" w:styleId="Marcadores">
    <w:name w:val="Marcadores"/>
    <w:qFormat/>
    <w:rPr>
      <w:rFonts w:ascii="OpenSymbol" w:hAnsi="OpenSymbol" w:eastAsia="OpenSymbol" w:cs="OpenSymbol"/>
    </w:rPr>
  </w:style>
  <w:style w:type="paragraph" w:styleId="Ttulo">
    <w:name w:val="Título"/>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ndice">
    <w:name w:val="Índice"/>
    <w:basedOn w:val="Normal"/>
    <w:qFormat/>
    <w:pPr>
      <w:suppressLineNumbers/>
    </w:pPr>
    <w:rPr>
      <w:rFonts w:cs="Noto Sans Devanagari"/>
    </w:rPr>
  </w:style>
  <w:style w:type="paragraph" w:styleId="normal1" w:default="1">
    <w:name w:val="normal1"/>
    <w:qFormat/>
    <w:pPr>
      <w:widowControl/>
      <w:suppressAutoHyphens w:val="true"/>
      <w:bidi w:val="0"/>
      <w:spacing w:lineRule="auto" w:line="276" w:before="0" w:after="0"/>
      <w:jc w:val="left"/>
    </w:pPr>
    <w:rPr>
      <w:rFonts w:ascii="Arial" w:hAnsi="Arial" w:eastAsia="Arial"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0" w:after="60"/>
    </w:pPr>
    <w:rPr>
      <w:sz w:val="52"/>
      <w:szCs w:val="52"/>
    </w:rPr>
  </w:style>
  <w:style w:type="paragraph" w:styleId="Subtitle">
    <w:name w:val="Subtitle"/>
    <w:basedOn w:val="normal1"/>
    <w:next w:val="normal1"/>
    <w:qFormat/>
    <w:pPr>
      <w:keepNext w:val="true"/>
      <w:keepLines/>
      <w:pageBreakBefore w:val="false"/>
      <w:spacing w:lineRule="auto" w:line="240" w:before="0" w:after="320"/>
    </w:pPr>
    <w:rPr>
      <w:rFonts w:ascii="Arial" w:hAnsi="Arial" w:eastAsia="Arial" w:cs="Arial"/>
      <w:i w:val="false"/>
      <w:color w:val="666666"/>
      <w:sz w:val="30"/>
      <w:szCs w:val="30"/>
    </w:rPr>
  </w:style>
  <w:style w:type="paragraph" w:styleId="FootnoteText">
    <w:name w:val="Footnote Text"/>
    <w:basedOn w:val="Normal"/>
    <w:pPr/>
    <w:rPr/>
  </w:style>
  <w:style w:type="paragraph" w:styleId="Cabealhoerodap">
    <w:name w:val="Cabeçalho e rodapé"/>
    <w:basedOn w:val="Normal"/>
    <w:qFormat/>
    <w:pPr/>
    <w:rPr/>
  </w:style>
  <w:style w:type="paragraph" w:styleId="Header">
    <w:name w:val="Header"/>
    <w:basedOn w:val="Cabealhoerodap"/>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Textoprformatado">
    <w:name w:val="Texto préformatado"/>
    <w:basedOn w:val="Normal"/>
    <w:qFormat/>
    <w:pPr>
      <w:spacing w:before="0" w:after="0"/>
    </w:pPr>
    <w:rPr>
      <w:rFonts w:ascii="Liberation Mono" w:hAnsi="Liberation Mono" w:eastAsia="Noto Sans Mono CJK SC" w:cs="Liberation Mono"/>
      <w:sz w:val="20"/>
      <w:szCs w:val="20"/>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hyperlink" Target="http://www.arquivoestado.sp.gov.br/site/assets/publicacao/anexo/gestao_documental_aplicada.pdf" TargetMode="External"/><Relationship Id="rId6" Type="http://schemas.openxmlformats.org/officeDocument/2006/relationships/hyperlink" Target="http://www.arqsp.org.br/arquivos/oficinas_colecao_como_fazer/cf1.pdf" TargetMode="External"/><Relationship Id="rId7" Type="http://schemas.openxmlformats.org/officeDocument/2006/relationships/hyperlink" Target="http://www.planalto.gov.br/ccivil_03/constituicao/constituicao.htm" TargetMode="External"/><Relationship Id="rId8" Type="http://schemas.openxmlformats.org/officeDocument/2006/relationships/hyperlink" Target="https://www.planalto.gov.br/ccivil_03/leis/l8159.htm" TargetMode="External"/><Relationship Id="rId9" Type="http://schemas.openxmlformats.org/officeDocument/2006/relationships/hyperlink" Target="https://cip.brapci.inf.br//download/257904" TargetMode="External"/><Relationship Id="rId10" Type="http://schemas.openxmlformats.org/officeDocument/2006/relationships/hyperlink" Target="https://cip.brapci.inf.br//download/345568" TargetMode="External"/><Relationship Id="rId11" Type="http://schemas.openxmlformats.org/officeDocument/2006/relationships/hyperlink" Target="https://www.gov.br/conarq/pt-br/centrais-de-conteudo/publicacoes/dicionrio_de_terminologia_arquivistica.pdf/@@download/file" TargetMode="External"/><Relationship Id="rId12" Type="http://schemas.openxmlformats.org/officeDocument/2006/relationships/hyperlink" Target="https://acervo.arquivopublico.sc.gov.br/uploads/r/arquivo-publico-do-estado-de-santa-catarina-apesc/6/d/5/6d52f272fec5b44db4f7642ec631618f67293d4e318497848bb843a4afa18561/b52bd51b-57ff-48a0-a389-3a101c0b19bb-14988-DOE_18625_15_06_2009_48F_JUCESC_18625_08F.pdf" TargetMode="External"/><Relationship Id="rId13" Type="http://schemas.openxmlformats.org/officeDocument/2006/relationships/hyperlink" Target="https://www.cbm.sc.gov.br/index.php/sobre-o-cbmsc/historia" TargetMode="External"/><Relationship Id="rId14" Type="http://schemas.openxmlformats.org/officeDocument/2006/relationships/hyperlink" Target="https://www.cbm.sc.gov.br/index.php/sobre-o-cbmsc/missao-visao-e-valores" TargetMode="External"/><Relationship Id="rId15" Type="http://schemas.openxmlformats.org/officeDocument/2006/relationships/hyperlink" Target="https://www.sea.sc.gov.br/download/orientacoes-para-elaboracao-instrumentos-de-gestao-documental-de-atividades-fim/" TargetMode="External"/><Relationship Id="rId16" Type="http://schemas.openxmlformats.org/officeDocument/2006/relationships/hyperlink" Target="https://revista.an.gov.br/index.php/revistaacervo/article/view/987/994" TargetMode="External"/><Relationship Id="rId17" Type="http://schemas.openxmlformats.org/officeDocument/2006/relationships/hyperlink" Target="https://cip.brapci.inf.br//download/329644" TargetMode="External"/><Relationship Id="rId18" Type="http://schemas.openxmlformats.org/officeDocument/2006/relationships/hyperlink" Target="https://cip.brapci.inf.br//download/72906" TargetMode="External"/><Relationship Id="rId19" Type="http://schemas.openxmlformats.org/officeDocument/2006/relationships/hyperlink" Target="https://cip.brapci.inf.br/download/185936" TargetMode="External"/><Relationship Id="rId20" Type="http://schemas.openxmlformats.org/officeDocument/2006/relationships/hyperlink" Target="https://www.sea.sc.gov.br/arquivo-publico/sgdpo/" TargetMode="External"/><Relationship Id="rId21" Type="http://schemas.openxmlformats.org/officeDocument/2006/relationships/hyperlink" Target="https://www.sea.sc.gov.br/download/lei-no-9-747-de-1994/" TargetMode="External"/><Relationship Id="rId22" Type="http://schemas.openxmlformats.org/officeDocument/2006/relationships/hyperlink" Target="https://leis.alesc.sc.gov.br/html/1983/6218_1983_Lei.html" TargetMode="External"/><Relationship Id="rId23" Type="http://schemas.openxmlformats.org/officeDocument/2006/relationships/hyperlink" Target="http://server03.pge.sc.gov.br/LegislacaoEstadual/2019/000039-005-0-2019-012.htm" TargetMode="External"/><Relationship Id="rId24" Type="http://schemas.openxmlformats.org/officeDocument/2006/relationships/hyperlink" Target="https://www.sea.sc.gov.br/download/instrucao-no-02-de-2006-sea/" TargetMode="External"/><Relationship Id="rId25" Type="http://schemas.openxmlformats.org/officeDocument/2006/relationships/hyperlink" Target="https://www.sea.sc.gov.br/download/instrucao-no-10-de-2006-sea/" TargetMode="External"/><Relationship Id="rId26" Type="http://schemas.openxmlformats.org/officeDocument/2006/relationships/hyperlink" Target="https://www.sea.sc.gov.br/download/instrucao-no-09-de-2007-sea/" TargetMode="External"/><Relationship Id="rId27" Type="http://schemas.openxmlformats.org/officeDocument/2006/relationships/hyperlink" Target="https://www.sea.sc.gov.br/download/instrucao-no-18-de-2008-sea/" TargetMode="External"/><Relationship Id="rId28" Type="http://schemas.openxmlformats.org/officeDocument/2006/relationships/hyperlink" Target="https://www.sea.sc.gov.br/download/instrucao-no-03-de-2019-sea/" TargetMode="External"/><Relationship Id="rId29" Type="http://schemas.openxmlformats.org/officeDocument/2006/relationships/hyperlink" Target="https://www.sea.sc.gov.br/download/instrucao-no-07-de-2021-sea/" TargetMode="External"/><Relationship Id="rId30" Type="http://schemas.openxmlformats.org/officeDocument/2006/relationships/hyperlink" Target="https://www.sea.sc.gov.br/download/in-n-5-2024-procedimento-de-recolhimento-de-documentos-publicos-de-valor-permanente-ao-arquivo-publico-do-estado-de-santa-catarina-no-ambito-dos-orgaos-e-entidades-da-administracao-publica-es/" TargetMode="External"/><Relationship Id="rId31" Type="http://schemas.openxmlformats.org/officeDocument/2006/relationships/hyperlink" Target="https://www.sea.sc.gov.br/download/in-n-8-2024-atribuicoes-da-comissao-permanente-de-avaliacao-de-documentos-no-ambito-dos-respectivos-orgaos-setoriais-e-seccionais/" TargetMode="External"/><Relationship Id="rId32" Type="http://schemas.openxmlformats.org/officeDocument/2006/relationships/hyperlink" Target="https://www.sea.sc.gov.br/download/in-no-2-2024-sea-orienta-sobre-os-procedimentos-para-a-eliminacao-de-documentos-e-selecao-de-amostras-no-ambito-dos-orgaos-e-entidades-da-administracao-publica-estadual/" TargetMode="External"/><Relationship Id="rId33" Type="http://schemas.openxmlformats.org/officeDocument/2006/relationships/header" Target="header1.xml"/><Relationship Id="rId34" Type="http://schemas.openxmlformats.org/officeDocument/2006/relationships/header" Target="header2.xml"/><Relationship Id="rId35" Type="http://schemas.openxmlformats.org/officeDocument/2006/relationships/header" Target="header3.xml"/><Relationship Id="rId36" Type="http://schemas.openxmlformats.org/officeDocument/2006/relationships/image" Target="media/image4.png"/><Relationship Id="rId37" Type="http://schemas.openxmlformats.org/officeDocument/2006/relationships/header" Target="header4.xml"/><Relationship Id="rId38" Type="http://schemas.openxmlformats.org/officeDocument/2006/relationships/header" Target="header5.xml"/><Relationship Id="rId39" Type="http://schemas.openxmlformats.org/officeDocument/2006/relationships/hyperlink" Target="https://fpolis.cbm.sc.gov.br/web193/index.php" TargetMode="External"/><Relationship Id="rId40" Type="http://schemas.openxmlformats.org/officeDocument/2006/relationships/hyperlink" Target="https://fpolis.cbm.sc.gov.br/web193/index.php" TargetMode="External"/><Relationship Id="rId41" Type="http://schemas.openxmlformats.org/officeDocument/2006/relationships/hyperlink" Target="https://fpolis.cbm.sc.gov.br/web193/index.php" TargetMode="External"/><Relationship Id="rId42" Type="http://schemas.openxmlformats.org/officeDocument/2006/relationships/hyperlink" Target="https://dsci.cbm.sc.gov.br/images/arquivo_pdf/IN/Em_vigor/IN_001_parte_1_18dezembro2019.pdf" TargetMode="External"/><Relationship Id="rId43" Type="http://schemas.openxmlformats.org/officeDocument/2006/relationships/hyperlink" Target="https://dsci.cbm.sc.gov.br/images/arquivo_pdf/IN/Em_vigor/IN_001_parte_1_18dezembro2019.pdf" TargetMode="External"/><Relationship Id="rId44" Type="http://schemas.openxmlformats.org/officeDocument/2006/relationships/hyperlink" Target="https://dsci.cbm.sc.gov.br/images/arquivo_pdf/IN/Em_vigor/IN_001_parte_1" TargetMode="External"/><Relationship Id="rId45" Type="http://schemas.openxmlformats.org/officeDocument/2006/relationships/hyperlink" Target="https://dsci.cbm.sc.gov.br/images/arquivo_pdf/IN/Em_vigor/IN_001_parte_1_18dezembro2019.pdf" TargetMode="External"/><Relationship Id="rId46" Type="http://schemas.openxmlformats.org/officeDocument/2006/relationships/hyperlink" Target="http://legislacao.sef.sc.gov.br/html/leis/2004/lei_04_13248.htm" TargetMode="External"/><Relationship Id="rId47" Type="http://schemas.openxmlformats.org/officeDocument/2006/relationships/hyperlink" Target="https://dsci.cbm.sc.gov.br/images/arquivo_pdf/IN/Em_vigor/IN_001_parte_1_18dezembro2019.pdf" TargetMode="External"/><Relationship Id="rId48" Type="http://schemas.openxmlformats.org/officeDocument/2006/relationships/hyperlink" Target="https://dsci.cbm.sc.gov.br/images/arquivo_pdf/IN/Em_vigor/IN_001_parte_1_18dezembro2019.pdf" TargetMode="External"/><Relationship Id="rId49" Type="http://schemas.openxmlformats.org/officeDocument/2006/relationships/hyperlink" Target="https://dsci.cbm.sc.gov.br/images/arquivo_pdf/IN/Em_vigor/IN_001_parte_1_18dezembro2019.pdf" TargetMode="External"/><Relationship Id="rId50" Type="http://schemas.openxmlformats.org/officeDocument/2006/relationships/hyperlink" Target="https://dsci.cbm.sc.gov.br/images/arquivo_pdf/IN/Em_vigor/IN_001_parte_1_18dezembro2019.pdf" TargetMode="External"/><Relationship Id="rId51" Type="http://schemas.openxmlformats.org/officeDocument/2006/relationships/hyperlink" Target="https://dsci.cbm.sc.gov.br/images/arquivo_pdf/IN/Em_vigor/IN_001_parte_1_18dezembro2019.pdf" TargetMode="External"/><Relationship Id="rId52" Type="http://schemas.openxmlformats.org/officeDocument/2006/relationships/hyperlink" Target="https://dsci.cbm.sc.gov.br/images/arquivo_pdf/IN/Em_vigor/IN_001_parte_1_18dezembro2019.pdf" TargetMode="External"/><Relationship Id="rId53" Type="http://schemas.openxmlformats.org/officeDocument/2006/relationships/hyperlink" Target="https://dsci.cbm.sc.gov.br/images/arquivo_pdf/IN/Em_vigor/IN_001_parte_1_18dezembro2019.pdf" TargetMode="External"/><Relationship Id="rId54" Type="http://schemas.openxmlformats.org/officeDocument/2006/relationships/hyperlink" Target="https://dsci.cbm.sc.gov.br/images/arquivo_pdf/IN/Em_vigor/IN_1_-_parte_1_-_ps_NT_06_Abr.pdf" TargetMode="External"/><Relationship Id="rId55" Type="http://schemas.openxmlformats.org/officeDocument/2006/relationships/hyperlink" Target="https://dsci.cbm.sc.gov.br/images/arquivo_pdf/IN/Em_vigor/IN_1_-_parte_1_-_ps_NT_06_Abr.pdf" TargetMode="External"/><Relationship Id="rId56" Type="http://schemas.openxmlformats.org/officeDocument/2006/relationships/hyperlink" Target="https://dsci.cbm.sc.gov.br/images/arquivo_pdf/IN/Em_vigor/IN_2_NT_59.pdf" TargetMode="External"/><Relationship Id="rId57" Type="http://schemas.openxmlformats.org/officeDocument/2006/relationships/hyperlink" Target="https://dsci.cbm.sc.gov.br/images/arquivo_pdf/IN/Em_vigor/IN_2_NT_59.pdf" TargetMode="External"/><Relationship Id="rId58" Type="http://schemas.openxmlformats.org/officeDocument/2006/relationships/hyperlink" Target="https://dsci.cbm.sc.gov.br/images/arquivo_pdf/IN/Em_vigor/IN_2_NT_59.pdf" TargetMode="External"/><Relationship Id="rId59" Type="http://schemas.openxmlformats.org/officeDocument/2006/relationships/hyperlink" Target="https://dsci.cbm.sc.gov.br/images/arquivo_pdf/IN/Em_vigor/IN_2_NT_59.pdf" TargetMode="External"/><Relationship Id="rId60" Type="http://schemas.openxmlformats.org/officeDocument/2006/relationships/hyperlink" Target="https://dsci.cbm.sc.gov.br/images/arquivo_pdf/IN/Em_vigor/IN_2_NT_59.pdf" TargetMode="External"/><Relationship Id="rId61" Type="http://schemas.openxmlformats.org/officeDocument/2006/relationships/hyperlink" Target="https://dsci.cbm.sc.gov.br/images/arquivo_pdf/IN/Em_vigor/IN_2_NT_59.pdf" TargetMode="External"/><Relationship Id="rId62" Type="http://schemas.openxmlformats.org/officeDocument/2006/relationships/hyperlink" Target="https://dsci.cbm.sc.gov.br/images/arquivo_pdf/IN/Em_vigor/IN_2_NT_59.pdf" TargetMode="External"/><Relationship Id="rId63" Type="http://schemas.openxmlformats.org/officeDocument/2006/relationships/hyperlink" Target="https://dsci.cbm.sc.gov.br/images/arquivo_pdf/IN/Em_vigor/IN_2_NT_59.pdf" TargetMode="External"/><Relationship Id="rId64" Type="http://schemas.openxmlformats.org/officeDocument/2006/relationships/hyperlink" Target="https://dsci.cbm.sc.gov.br/images/arquivo_pdf/IN/Em_vigor/IN_2_NT_59.pdf" TargetMode="External"/><Relationship Id="rId65" Type="http://schemas.openxmlformats.org/officeDocument/2006/relationships/hyperlink" Target="http://leis.alesc.sc.gov.br/html/2013/16157_2013_lei.html" TargetMode="External"/><Relationship Id="rId66" Type="http://schemas.openxmlformats.org/officeDocument/2006/relationships/hyperlink" Target="http://leis.alesc.sc.gov.br/html/2013/16157_2013_lei.html" TargetMode="External"/><Relationship Id="rId67" Type="http://schemas.openxmlformats.org/officeDocument/2006/relationships/hyperlink" Target="http://leis.alesc.sc.gov.br/html/2013/16157_2013_lei.html" TargetMode="External"/><Relationship Id="rId68" Type="http://schemas.openxmlformats.org/officeDocument/2006/relationships/hyperlink" Target="http://leis.alesc.sc.gov.br/html/2013/16157_2013_lei.html" TargetMode="External"/><Relationship Id="rId69" Type="http://schemas.openxmlformats.org/officeDocument/2006/relationships/hyperlink" Target="http://leis.alesc.sc.gov.br/html/2013/16157_2013_lei.html" TargetMode="External"/><Relationship Id="rId70" Type="http://schemas.openxmlformats.org/officeDocument/2006/relationships/hyperlink" Target="http://leis.alesc.sc.gov.br/html/1994/9747_1994_lei.html" TargetMode="External"/><Relationship Id="rId71" Type="http://schemas.openxmlformats.org/officeDocument/2006/relationships/hyperlink" Target="http://leis.alesc.sc.gov.br/html/2013/16157_2013_lei.html" TargetMode="External"/><Relationship Id="rId72" Type="http://schemas.openxmlformats.org/officeDocument/2006/relationships/hyperlink" Target="http://leis.alesc.sc.gov.br/html/1994/9747_1994_lei.html" TargetMode="External"/><Relationship Id="rId73" Type="http://schemas.openxmlformats.org/officeDocument/2006/relationships/hyperlink" Target="http://leis.alesc.sc.gov.br/html/2013/16157_2013_lei.html" TargetMode="External"/><Relationship Id="rId74" Type="http://schemas.openxmlformats.org/officeDocument/2006/relationships/hyperlink" Target="http://leis.alesc.sc.gov.br/html/1994/9747_1994_lei.html" TargetMode="External"/><Relationship Id="rId75" Type="http://schemas.openxmlformats.org/officeDocument/2006/relationships/hyperlink" Target="http://leis.alesc.sc.gov.br/html/2013/16157_2013_lei.html" TargetMode="External"/><Relationship Id="rId76" Type="http://schemas.openxmlformats.org/officeDocument/2006/relationships/hyperlink" Target="http://leis.alesc.sc.gov.br/html/1994/9747_1994_lei.html" TargetMode="External"/><Relationship Id="rId77" Type="http://schemas.openxmlformats.org/officeDocument/2006/relationships/hyperlink" Target="http://leis.alesc.sc.gov.br/html/2013/16157_2013_lei.html" TargetMode="External"/><Relationship Id="rId78" Type="http://schemas.openxmlformats.org/officeDocument/2006/relationships/hyperlink" Target="http://leis.alesc.sc.gov.br/html/1994/9747_1994_lei.html" TargetMode="External"/><Relationship Id="rId79" Type="http://schemas.openxmlformats.org/officeDocument/2006/relationships/hyperlink" Target="http://leis.alesc.sc.gov.br/html/2013/16157_2013_lei.html" TargetMode="External"/><Relationship Id="rId80" Type="http://schemas.openxmlformats.org/officeDocument/2006/relationships/hyperlink" Target="http://leis.alesc.sc.gov.br/html/1994/9747_1994_lei.html" TargetMode="External"/><Relationship Id="rId81" Type="http://schemas.openxmlformats.org/officeDocument/2006/relationships/hyperlink" Target="http://leis.alesc.sc.gov.br/html/2013/16157_2013_lei.html" TargetMode="External"/><Relationship Id="rId82" Type="http://schemas.openxmlformats.org/officeDocument/2006/relationships/hyperlink" Target="http://leis.alesc.sc.gov.br/html/1994/9747_1994_lei.html" TargetMode="External"/><Relationship Id="rId83" Type="http://schemas.openxmlformats.org/officeDocument/2006/relationships/header" Target="header6.xml"/><Relationship Id="rId84" Type="http://schemas.openxmlformats.org/officeDocument/2006/relationships/header" Target="header7.xml"/><Relationship Id="rId85" Type="http://schemas.openxmlformats.org/officeDocument/2006/relationships/footnotes" Target="footnotes.xml"/><Relationship Id="rId86" Type="http://schemas.openxmlformats.org/officeDocument/2006/relationships/fontTable" Target="fontTable.xml"/><Relationship Id="rId87" Type="http://schemas.openxmlformats.org/officeDocument/2006/relationships/settings" Target="settings.xml"/><Relationship Id="rId8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pitchFamily="0" charset="1"/>
        <a:ea typeface=""/>
        <a:cs typeface=""/>
      </a:majorFont>
      <a:minorFont>
        <a:latin typeface="Cambria"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tint val="100000"/>
                <a:shade val="100000"/>
              </a:schemeClr>
            </a:gs>
            <a:gs pos="100000">
              <a:schemeClr val="phClr">
                <a:tint val="50000"/>
                <a:shade val="100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
  <TotalTime>1477</TotalTime>
  <Application>LibreOffice/24.2.7.2$Linux_X86_64 LibreOffice_project/420$Build-2</Application>
  <AppVersion>15.0000</AppVersion>
  <Pages>50</Pages>
  <Words>16774</Words>
  <Characters>97026</Characters>
  <CharactersWithSpaces>112624</CharactersWithSpaces>
  <Paragraphs>1494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cp:lastPrinted>2025-08-02T14:38:02Z</cp:lastPrinted>
  <dcterms:modified xsi:type="dcterms:W3CDTF">2025-07-29T01:06:20Z</dcterms:modified>
  <cp:revision>134</cp:revision>
  <dc:subject/>
  <dc:title/>
</cp:coreProperties>
</file>

<file path=docProps/custom.xml><?xml version="1.0" encoding="utf-8"?>
<Properties xmlns="http://schemas.openxmlformats.org/officeDocument/2006/custom-properties" xmlns:vt="http://schemas.openxmlformats.org/officeDocument/2006/docPropsVTypes"/>
</file>